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92491" w14:textId="77777777" w:rsidR="00FB3934" w:rsidRPr="0092672A" w:rsidRDefault="00FB3934" w:rsidP="0092672A">
      <w:pPr>
        <w:spacing w:after="0" w:line="240" w:lineRule="auto"/>
        <w:jc w:val="center"/>
        <w:rPr>
          <w:rFonts w:ascii="Verdana" w:eastAsia="Times New Roman" w:hAnsi="Verdana" w:cs="Times New Roman"/>
          <w:b/>
          <w:bCs/>
          <w:kern w:val="0"/>
          <w:sz w:val="20"/>
          <w:szCs w:val="20"/>
          <w:lang w:val="es-ES_tradnl" w:eastAsia="es-ES"/>
          <w14:ligatures w14:val="none"/>
        </w:rPr>
      </w:pPr>
      <w:r w:rsidRPr="0092672A">
        <w:rPr>
          <w:rFonts w:ascii="Verdana" w:eastAsia="Times New Roman" w:hAnsi="Verdana" w:cs="Times New Roman"/>
          <w:b/>
          <w:bCs/>
          <w:kern w:val="0"/>
          <w:sz w:val="20"/>
          <w:szCs w:val="20"/>
          <w:lang w:val="es-ES_tradnl" w:eastAsia="es-ES"/>
          <w14:ligatures w14:val="none"/>
        </w:rPr>
        <w:t>PARTE 3</w:t>
      </w:r>
    </w:p>
    <w:p w14:paraId="7C8CBB18" w14:textId="77777777" w:rsidR="00FB3934" w:rsidRPr="0092672A" w:rsidRDefault="00FB3934" w:rsidP="0092672A">
      <w:pPr>
        <w:spacing w:after="0" w:line="240" w:lineRule="auto"/>
        <w:jc w:val="center"/>
        <w:rPr>
          <w:rFonts w:ascii="Verdana" w:eastAsia="Times New Roman" w:hAnsi="Verdana" w:cs="Times New Roman"/>
          <w:b/>
          <w:bCs/>
          <w:kern w:val="0"/>
          <w:sz w:val="20"/>
          <w:szCs w:val="20"/>
          <w:lang w:val="es-ES_tradnl" w:eastAsia="es-ES"/>
          <w14:ligatures w14:val="none"/>
        </w:rPr>
      </w:pPr>
      <w:r w:rsidRPr="0092672A">
        <w:rPr>
          <w:rFonts w:ascii="Verdana" w:eastAsia="Times New Roman" w:hAnsi="Verdana" w:cs="Times New Roman"/>
          <w:b/>
          <w:bCs/>
          <w:kern w:val="0"/>
          <w:sz w:val="20"/>
          <w:szCs w:val="20"/>
          <w:lang w:val="es-ES_tradnl" w:eastAsia="es-ES"/>
          <w14:ligatures w14:val="none"/>
        </w:rPr>
        <w:t>INFORMACIÓN FINANCIERA Y ESQUEMAS DE REPORTE</w:t>
      </w:r>
    </w:p>
    <w:p w14:paraId="3DF2818D" w14:textId="77777777" w:rsidR="00FB3934" w:rsidRPr="0092672A" w:rsidRDefault="00FB3934" w:rsidP="0092672A">
      <w:pPr>
        <w:spacing w:after="0" w:line="240" w:lineRule="auto"/>
        <w:jc w:val="center"/>
        <w:rPr>
          <w:rFonts w:ascii="Verdana" w:eastAsia="Times New Roman" w:hAnsi="Verdana" w:cs="Times New Roman"/>
          <w:b/>
          <w:bCs/>
          <w:kern w:val="0"/>
          <w:sz w:val="20"/>
          <w:szCs w:val="20"/>
          <w:lang w:val="es-ES_tradnl" w:eastAsia="es-ES"/>
          <w14:ligatures w14:val="none"/>
        </w:rPr>
      </w:pPr>
    </w:p>
    <w:p w14:paraId="1B60E58D" w14:textId="77777777" w:rsidR="00FB3934" w:rsidRPr="0092672A" w:rsidRDefault="00FB3934" w:rsidP="0092672A">
      <w:pPr>
        <w:spacing w:after="0" w:line="240" w:lineRule="auto"/>
        <w:jc w:val="center"/>
        <w:rPr>
          <w:rFonts w:ascii="Verdana" w:eastAsia="Times New Roman" w:hAnsi="Verdana" w:cs="Times New Roman"/>
          <w:b/>
          <w:bCs/>
          <w:kern w:val="0"/>
          <w:sz w:val="20"/>
          <w:szCs w:val="20"/>
          <w:lang w:val="es-ES_tradnl" w:eastAsia="es-ES"/>
          <w14:ligatures w14:val="none"/>
        </w:rPr>
      </w:pPr>
      <w:r w:rsidRPr="0092672A">
        <w:rPr>
          <w:rFonts w:ascii="Verdana" w:eastAsia="Times New Roman" w:hAnsi="Verdana" w:cs="Times New Roman"/>
          <w:b/>
          <w:bCs/>
          <w:kern w:val="0"/>
          <w:sz w:val="20"/>
          <w:szCs w:val="20"/>
          <w:lang w:val="es-ES_tradnl" w:eastAsia="es-ES"/>
          <w14:ligatures w14:val="none"/>
        </w:rPr>
        <w:t>CAPÍTULO 7</w:t>
      </w:r>
    </w:p>
    <w:p w14:paraId="6F531834" w14:textId="77777777" w:rsidR="00FB3934" w:rsidRPr="0092672A" w:rsidRDefault="00FB3934" w:rsidP="0092672A">
      <w:pPr>
        <w:spacing w:after="0" w:line="240" w:lineRule="auto"/>
        <w:jc w:val="center"/>
        <w:rPr>
          <w:rFonts w:ascii="Verdana" w:eastAsia="Times New Roman" w:hAnsi="Verdana" w:cs="Times New Roman"/>
          <w:b/>
          <w:bCs/>
          <w:kern w:val="0"/>
          <w:sz w:val="20"/>
          <w:szCs w:val="20"/>
          <w:lang w:val="es-ES_tradnl" w:eastAsia="es-ES"/>
          <w14:ligatures w14:val="none"/>
        </w:rPr>
      </w:pPr>
      <w:r w:rsidRPr="0092672A">
        <w:rPr>
          <w:rFonts w:ascii="Verdana" w:eastAsia="Times New Roman" w:hAnsi="Verdana" w:cs="Times New Roman"/>
          <w:b/>
          <w:bCs/>
          <w:kern w:val="0"/>
          <w:sz w:val="20"/>
          <w:szCs w:val="20"/>
          <w:lang w:val="es-ES_tradnl" w:eastAsia="es-ES"/>
          <w14:ligatures w14:val="none"/>
        </w:rPr>
        <w:t>OPERACIONES DE LIQUIDEZ Y DEL MERCADO DE VALORES</w:t>
      </w:r>
    </w:p>
    <w:p w14:paraId="61D475C1" w14:textId="77777777" w:rsidR="00FB3934" w:rsidRPr="0092672A" w:rsidRDefault="00FB3934" w:rsidP="0092672A">
      <w:pPr>
        <w:spacing w:after="0" w:line="240" w:lineRule="auto"/>
        <w:jc w:val="center"/>
        <w:rPr>
          <w:rFonts w:ascii="Verdana" w:eastAsia="Times New Roman" w:hAnsi="Verdana" w:cs="Times New Roman"/>
          <w:b/>
          <w:bCs/>
          <w:kern w:val="0"/>
          <w:sz w:val="20"/>
          <w:szCs w:val="20"/>
          <w:lang w:val="es-ES_tradnl" w:eastAsia="es-ES"/>
          <w14:ligatures w14:val="none"/>
        </w:rPr>
      </w:pPr>
    </w:p>
    <w:p w14:paraId="2EB6587D" w14:textId="77777777" w:rsidR="00FB3934" w:rsidRPr="0092672A" w:rsidRDefault="00FB3934" w:rsidP="0092672A">
      <w:pPr>
        <w:spacing w:after="0" w:line="240" w:lineRule="auto"/>
        <w:jc w:val="center"/>
        <w:rPr>
          <w:rFonts w:ascii="Verdana" w:eastAsia="Times New Roman" w:hAnsi="Verdana" w:cs="Times New Roman"/>
          <w:b/>
          <w:bCs/>
          <w:kern w:val="0"/>
          <w:sz w:val="20"/>
          <w:szCs w:val="20"/>
          <w:lang w:val="es-ES_tradnl" w:eastAsia="es-ES"/>
          <w14:ligatures w14:val="none"/>
        </w:rPr>
      </w:pPr>
      <w:r w:rsidRPr="0092672A">
        <w:rPr>
          <w:rFonts w:ascii="Verdana" w:eastAsia="Times New Roman" w:hAnsi="Verdana" w:cs="Times New Roman"/>
          <w:b/>
          <w:bCs/>
          <w:kern w:val="0"/>
          <w:sz w:val="20"/>
          <w:szCs w:val="20"/>
          <w:lang w:val="es-ES_tradnl" w:eastAsia="es-ES"/>
          <w14:ligatures w14:val="none"/>
        </w:rPr>
        <w:t>SECCIÓN 1</w:t>
      </w:r>
    </w:p>
    <w:p w14:paraId="246D720D" w14:textId="77777777" w:rsidR="00FB3934" w:rsidRPr="0092672A" w:rsidRDefault="00FB3934" w:rsidP="0092672A">
      <w:pPr>
        <w:spacing w:after="0" w:line="240" w:lineRule="auto"/>
        <w:jc w:val="center"/>
        <w:rPr>
          <w:rFonts w:ascii="Verdana" w:eastAsia="Times New Roman" w:hAnsi="Verdana" w:cs="Times New Roman"/>
          <w:b/>
          <w:bCs/>
          <w:kern w:val="0"/>
          <w:sz w:val="20"/>
          <w:szCs w:val="20"/>
          <w:lang w:val="es-ES_tradnl" w:eastAsia="es-ES"/>
          <w14:ligatures w14:val="none"/>
        </w:rPr>
      </w:pPr>
      <w:r w:rsidRPr="0092672A">
        <w:rPr>
          <w:rFonts w:ascii="Verdana" w:eastAsia="Times New Roman" w:hAnsi="Verdana" w:cs="Times New Roman"/>
          <w:b/>
          <w:bCs/>
          <w:kern w:val="0"/>
          <w:sz w:val="20"/>
          <w:szCs w:val="20"/>
          <w:lang w:val="es-ES_tradnl" w:eastAsia="es-ES"/>
          <w14:ligatures w14:val="none"/>
        </w:rPr>
        <w:t>OPERACIONES DE CONTADO</w:t>
      </w:r>
    </w:p>
    <w:p w14:paraId="65E15BD0" w14:textId="77777777" w:rsidR="0060589F" w:rsidRDefault="0060589F" w:rsidP="00FB3934">
      <w:pPr>
        <w:rPr>
          <w:rFonts w:ascii="Verdana" w:hAnsi="Verdana" w:cs="Arial"/>
          <w:b/>
          <w:bCs/>
          <w:sz w:val="20"/>
          <w:szCs w:val="20"/>
        </w:rPr>
      </w:pPr>
    </w:p>
    <w:p w14:paraId="5387FD00" w14:textId="3EBFF9DD" w:rsidR="00FB3934" w:rsidRPr="000A4A7C" w:rsidRDefault="00120C45" w:rsidP="00FB3934">
      <w:pPr>
        <w:rPr>
          <w:rFonts w:ascii="Verdana" w:hAnsi="Verdana" w:cs="Arial"/>
          <w:b/>
          <w:bCs/>
          <w:sz w:val="20"/>
          <w:szCs w:val="20"/>
        </w:rPr>
      </w:pPr>
      <w:r w:rsidRPr="000A4A7C">
        <w:rPr>
          <w:rFonts w:ascii="Verdana" w:hAnsi="Verdana" w:cs="Arial"/>
          <w:b/>
          <w:bCs/>
          <w:sz w:val="20"/>
          <w:szCs w:val="20"/>
        </w:rPr>
        <w:t>ÁMBITO DE APLICACIÓN</w:t>
      </w:r>
    </w:p>
    <w:p w14:paraId="64F53B17" w14:textId="77777777" w:rsidR="000A4A7C" w:rsidRDefault="000A4A7C" w:rsidP="000A4A7C">
      <w:pPr>
        <w:tabs>
          <w:tab w:val="left" w:pos="540"/>
        </w:tabs>
        <w:spacing w:after="0" w:line="240" w:lineRule="auto"/>
        <w:jc w:val="both"/>
        <w:rPr>
          <w:rFonts w:ascii="Verdana" w:hAnsi="Verdana" w:cs="Arial"/>
          <w:bCs/>
          <w:sz w:val="20"/>
          <w:szCs w:val="20"/>
        </w:rPr>
      </w:pPr>
      <w:r>
        <w:rPr>
          <w:rFonts w:ascii="Verdana" w:hAnsi="Verdana" w:cs="Arial"/>
          <w:bCs/>
          <w:sz w:val="20"/>
          <w:szCs w:val="20"/>
        </w:rPr>
        <w:t>3.7.1.1.</w:t>
      </w:r>
    </w:p>
    <w:p w14:paraId="1C7EEA2B" w14:textId="247F460C" w:rsidR="0051626F" w:rsidRDefault="00FB3934" w:rsidP="0051626F">
      <w:pPr>
        <w:tabs>
          <w:tab w:val="left" w:pos="540"/>
        </w:tabs>
        <w:spacing w:after="0" w:line="240" w:lineRule="auto"/>
        <w:jc w:val="both"/>
        <w:rPr>
          <w:rFonts w:ascii="Verdana" w:hAnsi="Verdana" w:cs="Arial"/>
          <w:bCs/>
          <w:sz w:val="20"/>
          <w:szCs w:val="20"/>
        </w:rPr>
      </w:pPr>
      <w:r w:rsidRPr="00211BF0">
        <w:rPr>
          <w:rFonts w:ascii="Verdana" w:hAnsi="Verdana" w:cs="Arial"/>
          <w:bCs/>
          <w:sz w:val="20"/>
          <w:szCs w:val="20"/>
        </w:rPr>
        <w:t xml:space="preserve">Las instrucciones </w:t>
      </w:r>
      <w:r w:rsidR="002D0718">
        <w:rPr>
          <w:rFonts w:ascii="Verdana" w:hAnsi="Verdana" w:cs="Arial"/>
          <w:bCs/>
          <w:sz w:val="20"/>
          <w:szCs w:val="20"/>
        </w:rPr>
        <w:t xml:space="preserve">de la </w:t>
      </w:r>
      <w:r w:rsidRPr="00211BF0">
        <w:rPr>
          <w:rFonts w:ascii="Verdana" w:hAnsi="Verdana" w:cs="Arial"/>
          <w:bCs/>
          <w:sz w:val="20"/>
          <w:szCs w:val="20"/>
        </w:rPr>
        <w:t xml:space="preserve">presente </w:t>
      </w:r>
      <w:r w:rsidR="002D0718" w:rsidRPr="00576DF2">
        <w:rPr>
          <w:rFonts w:ascii="Verdana" w:hAnsi="Verdana" w:cs="Arial"/>
          <w:bCs/>
          <w:sz w:val="20"/>
          <w:szCs w:val="20"/>
        </w:rPr>
        <w:t>sección</w:t>
      </w:r>
      <w:r w:rsidR="002D0718">
        <w:rPr>
          <w:rFonts w:ascii="Verdana" w:hAnsi="Verdana" w:cs="Arial"/>
          <w:bCs/>
          <w:sz w:val="20"/>
          <w:szCs w:val="20"/>
        </w:rPr>
        <w:t xml:space="preserve"> </w:t>
      </w:r>
      <w:r w:rsidRPr="00211BF0">
        <w:rPr>
          <w:rFonts w:ascii="Verdana" w:hAnsi="Verdana" w:cs="Arial"/>
          <w:bCs/>
          <w:sz w:val="20"/>
          <w:szCs w:val="20"/>
        </w:rPr>
        <w:t>son aplicables a las entidades vigiladas</w:t>
      </w:r>
      <w:r w:rsidR="006A7BF3">
        <w:rPr>
          <w:rFonts w:ascii="Verdana" w:hAnsi="Verdana" w:cs="Arial"/>
          <w:bCs/>
          <w:sz w:val="20"/>
          <w:szCs w:val="20"/>
        </w:rPr>
        <w:t xml:space="preserve">, así como </w:t>
      </w:r>
      <w:r w:rsidR="00BD605A">
        <w:rPr>
          <w:rFonts w:ascii="Verdana" w:hAnsi="Verdana" w:cs="Arial"/>
          <w:bCs/>
          <w:sz w:val="20"/>
          <w:szCs w:val="20"/>
        </w:rPr>
        <w:t>a</w:t>
      </w:r>
      <w:r w:rsidR="006A7BF3">
        <w:rPr>
          <w:rFonts w:ascii="Verdana" w:hAnsi="Verdana" w:cs="Arial"/>
          <w:bCs/>
          <w:sz w:val="20"/>
          <w:szCs w:val="20"/>
        </w:rPr>
        <w:t xml:space="preserve"> los </w:t>
      </w:r>
      <w:r w:rsidR="00F67513">
        <w:rPr>
          <w:rFonts w:ascii="Verdana" w:hAnsi="Verdana" w:cs="Arial"/>
          <w:bCs/>
          <w:sz w:val="20"/>
          <w:szCs w:val="20"/>
        </w:rPr>
        <w:t>fond</w:t>
      </w:r>
      <w:r w:rsidR="0026166D">
        <w:rPr>
          <w:rFonts w:ascii="Verdana" w:hAnsi="Verdana" w:cs="Arial"/>
          <w:bCs/>
          <w:sz w:val="20"/>
          <w:szCs w:val="20"/>
        </w:rPr>
        <w:t>o</w:t>
      </w:r>
      <w:r w:rsidR="00F67513">
        <w:rPr>
          <w:rFonts w:ascii="Verdana" w:hAnsi="Verdana" w:cs="Arial"/>
          <w:bCs/>
          <w:sz w:val="20"/>
          <w:szCs w:val="20"/>
        </w:rPr>
        <w:t>s de inversión colectiva y demás</w:t>
      </w:r>
      <w:r w:rsidR="006A7BF3">
        <w:rPr>
          <w:rFonts w:ascii="Verdana" w:hAnsi="Verdana" w:cs="Arial"/>
          <w:bCs/>
          <w:sz w:val="20"/>
          <w:szCs w:val="20"/>
        </w:rPr>
        <w:t xml:space="preserve"> </w:t>
      </w:r>
      <w:r w:rsidR="001756A9">
        <w:rPr>
          <w:rFonts w:ascii="Verdana" w:hAnsi="Verdana" w:cs="Arial"/>
          <w:bCs/>
          <w:sz w:val="20"/>
          <w:szCs w:val="20"/>
        </w:rPr>
        <w:t xml:space="preserve">vehículos </w:t>
      </w:r>
      <w:r w:rsidR="00E84686">
        <w:rPr>
          <w:rFonts w:ascii="Verdana" w:hAnsi="Verdana" w:cs="Arial"/>
          <w:bCs/>
          <w:sz w:val="20"/>
          <w:szCs w:val="20"/>
        </w:rPr>
        <w:t>de inversión</w:t>
      </w:r>
      <w:r w:rsidR="004F59AB">
        <w:rPr>
          <w:rFonts w:ascii="Verdana" w:hAnsi="Verdana" w:cs="Arial"/>
          <w:bCs/>
          <w:sz w:val="20"/>
          <w:szCs w:val="20"/>
        </w:rPr>
        <w:t xml:space="preserve"> </w:t>
      </w:r>
      <w:r w:rsidR="0010167B">
        <w:rPr>
          <w:rFonts w:ascii="Verdana" w:hAnsi="Verdana" w:cs="Arial"/>
          <w:bCs/>
          <w:sz w:val="20"/>
          <w:szCs w:val="20"/>
        </w:rPr>
        <w:t>administrados por entidades vigiladas</w:t>
      </w:r>
      <w:r w:rsidR="009026CF">
        <w:rPr>
          <w:rFonts w:ascii="Verdana" w:hAnsi="Verdana" w:cs="Arial"/>
          <w:bCs/>
          <w:sz w:val="20"/>
          <w:szCs w:val="20"/>
        </w:rPr>
        <w:t>,</w:t>
      </w:r>
      <w:r w:rsidR="00BA25CA">
        <w:rPr>
          <w:rFonts w:ascii="Verdana" w:hAnsi="Verdana" w:cs="Arial"/>
          <w:bCs/>
          <w:sz w:val="20"/>
          <w:szCs w:val="20"/>
        </w:rPr>
        <w:t xml:space="preserve"> </w:t>
      </w:r>
      <w:r w:rsidRPr="00211BF0">
        <w:rPr>
          <w:rFonts w:ascii="Verdana" w:hAnsi="Verdana" w:cs="Arial"/>
          <w:bCs/>
          <w:sz w:val="20"/>
          <w:szCs w:val="20"/>
        </w:rPr>
        <w:t xml:space="preserve">que de acuerdo con su objeto legal y la regulación aplicable </w:t>
      </w:r>
      <w:r w:rsidR="00D24B7F" w:rsidRPr="00211BF0">
        <w:rPr>
          <w:rFonts w:ascii="Verdana" w:hAnsi="Verdana" w:cs="Arial"/>
          <w:bCs/>
          <w:sz w:val="20"/>
          <w:szCs w:val="20"/>
        </w:rPr>
        <w:t>est</w:t>
      </w:r>
      <w:r w:rsidR="00D24B7F">
        <w:rPr>
          <w:rFonts w:ascii="Verdana" w:hAnsi="Verdana" w:cs="Arial"/>
          <w:bCs/>
          <w:sz w:val="20"/>
          <w:szCs w:val="20"/>
        </w:rPr>
        <w:t>é</w:t>
      </w:r>
      <w:r w:rsidR="00D24B7F" w:rsidRPr="00211BF0">
        <w:rPr>
          <w:rFonts w:ascii="Verdana" w:hAnsi="Verdana" w:cs="Arial"/>
          <w:bCs/>
          <w:sz w:val="20"/>
          <w:szCs w:val="20"/>
        </w:rPr>
        <w:t>n</w:t>
      </w:r>
      <w:r w:rsidRPr="00211BF0">
        <w:rPr>
          <w:rFonts w:ascii="Verdana" w:hAnsi="Verdana" w:cs="Arial"/>
          <w:bCs/>
          <w:sz w:val="20"/>
          <w:szCs w:val="20"/>
        </w:rPr>
        <w:t xml:space="preserve"> autorizadas para realizar operaciones de contado en el mercado de valores.</w:t>
      </w:r>
    </w:p>
    <w:p w14:paraId="74DE8E3A" w14:textId="77777777" w:rsidR="0051626F" w:rsidRDefault="0051626F" w:rsidP="0051626F">
      <w:pPr>
        <w:tabs>
          <w:tab w:val="left" w:pos="540"/>
        </w:tabs>
        <w:spacing w:after="0" w:line="240" w:lineRule="auto"/>
        <w:jc w:val="both"/>
        <w:rPr>
          <w:rFonts w:ascii="Verdana" w:hAnsi="Verdana" w:cs="Arial"/>
          <w:bCs/>
          <w:sz w:val="20"/>
          <w:szCs w:val="20"/>
        </w:rPr>
      </w:pPr>
    </w:p>
    <w:p w14:paraId="15A4C111" w14:textId="481F7347" w:rsidR="00FB3934" w:rsidRPr="003704DA" w:rsidRDefault="00120C45" w:rsidP="0051626F">
      <w:pPr>
        <w:tabs>
          <w:tab w:val="left" w:pos="540"/>
        </w:tabs>
        <w:spacing w:after="0" w:line="240" w:lineRule="auto"/>
        <w:jc w:val="both"/>
        <w:rPr>
          <w:rFonts w:ascii="Verdana" w:hAnsi="Verdana" w:cs="Arial"/>
          <w:b/>
          <w:bCs/>
          <w:sz w:val="20"/>
          <w:szCs w:val="20"/>
        </w:rPr>
      </w:pPr>
      <w:r w:rsidRPr="003704DA">
        <w:rPr>
          <w:rFonts w:ascii="Verdana" w:hAnsi="Verdana" w:cs="Arial"/>
          <w:b/>
          <w:bCs/>
          <w:sz w:val="20"/>
          <w:szCs w:val="20"/>
        </w:rPr>
        <w:t>GENERALIDADES</w:t>
      </w:r>
    </w:p>
    <w:p w14:paraId="3826E1E0" w14:textId="77777777" w:rsidR="00120C45" w:rsidRDefault="00120C45" w:rsidP="003704DA">
      <w:pPr>
        <w:tabs>
          <w:tab w:val="left" w:pos="540"/>
        </w:tabs>
        <w:spacing w:after="0" w:line="240" w:lineRule="auto"/>
        <w:jc w:val="both"/>
        <w:rPr>
          <w:rFonts w:ascii="Verdana" w:hAnsi="Verdana" w:cs="Arial"/>
          <w:b/>
          <w:sz w:val="20"/>
          <w:szCs w:val="20"/>
        </w:rPr>
      </w:pPr>
    </w:p>
    <w:p w14:paraId="0EE44871" w14:textId="5D08DD83" w:rsidR="003704DA" w:rsidRDefault="003704DA" w:rsidP="003704DA">
      <w:pPr>
        <w:tabs>
          <w:tab w:val="left" w:pos="540"/>
        </w:tabs>
        <w:spacing w:after="0" w:line="240" w:lineRule="auto"/>
        <w:jc w:val="both"/>
        <w:rPr>
          <w:rFonts w:ascii="Verdana" w:hAnsi="Verdana" w:cs="Arial"/>
          <w:bCs/>
          <w:sz w:val="20"/>
          <w:szCs w:val="20"/>
        </w:rPr>
      </w:pPr>
      <w:r>
        <w:rPr>
          <w:rFonts w:ascii="Verdana" w:hAnsi="Verdana" w:cs="Arial"/>
          <w:bCs/>
          <w:sz w:val="20"/>
          <w:szCs w:val="20"/>
        </w:rPr>
        <w:t>3.7.1.2.</w:t>
      </w:r>
    </w:p>
    <w:p w14:paraId="52D6C4DB" w14:textId="5909DF1D" w:rsidR="00FB3934" w:rsidRPr="00211BF0" w:rsidRDefault="00FB3934" w:rsidP="00FB3934">
      <w:pPr>
        <w:jc w:val="both"/>
        <w:rPr>
          <w:rFonts w:ascii="Verdana" w:hAnsi="Verdana" w:cs="Arial"/>
          <w:sz w:val="20"/>
          <w:szCs w:val="20"/>
        </w:rPr>
      </w:pPr>
      <w:r w:rsidRPr="00211BF0">
        <w:rPr>
          <w:rFonts w:ascii="Verdana" w:hAnsi="Verdana" w:cs="Arial"/>
          <w:sz w:val="20"/>
          <w:szCs w:val="20"/>
        </w:rPr>
        <w:t xml:space="preserve">De acuerdo con lo dispuesto en el artículo 2.35.2.1.1. del Decreto 2555 de 2010 y en las normas que lo sustituyan o lo subroguen, las operaciones de contado son aquellas cuya compensación y liquidación se realiza en la misma fecha de su celebración o ejecución (T+0) o máximo dentro de los 3 días hábiles siguientes contados a partir del día siguiente a la fecha de celebración o ejecución de la operación (T+3). </w:t>
      </w:r>
    </w:p>
    <w:p w14:paraId="61A9611C" w14:textId="77777777" w:rsidR="001E5259" w:rsidRDefault="003704DA" w:rsidP="001E5259">
      <w:pPr>
        <w:tabs>
          <w:tab w:val="left" w:pos="540"/>
        </w:tabs>
        <w:spacing w:after="0" w:line="240" w:lineRule="auto"/>
        <w:jc w:val="both"/>
        <w:rPr>
          <w:rFonts w:ascii="Verdana" w:hAnsi="Verdana" w:cs="Arial"/>
          <w:bCs/>
          <w:sz w:val="20"/>
          <w:szCs w:val="20"/>
        </w:rPr>
      </w:pPr>
      <w:r>
        <w:rPr>
          <w:rFonts w:ascii="Verdana" w:hAnsi="Verdana" w:cs="Arial"/>
          <w:bCs/>
          <w:sz w:val="20"/>
          <w:szCs w:val="20"/>
        </w:rPr>
        <w:t>3.7.1.3.</w:t>
      </w:r>
    </w:p>
    <w:p w14:paraId="19D601CB" w14:textId="2284F4A0" w:rsidR="00FB3934" w:rsidRDefault="00FB3934" w:rsidP="001E5259">
      <w:pPr>
        <w:tabs>
          <w:tab w:val="left" w:pos="540"/>
        </w:tabs>
        <w:spacing w:after="0" w:line="240" w:lineRule="auto"/>
        <w:jc w:val="both"/>
        <w:rPr>
          <w:rFonts w:ascii="Verdana" w:hAnsi="Verdana" w:cs="Arial"/>
          <w:sz w:val="20"/>
          <w:szCs w:val="20"/>
        </w:rPr>
      </w:pPr>
      <w:r w:rsidRPr="00211BF0">
        <w:rPr>
          <w:rFonts w:ascii="Verdana" w:hAnsi="Verdana" w:cs="Arial"/>
          <w:sz w:val="20"/>
          <w:szCs w:val="20"/>
        </w:rPr>
        <w:t xml:space="preserve">Cuando se efectúe la reapertura de una emisión, la operación de contado tendrá un plazo equivalente a los días comprendidos entre la adquisición del valor y la compensación y liquidación de la operación. Lo anterior, sin perjuicio de las reglas contables establecidas </w:t>
      </w:r>
      <w:r w:rsidR="00094603">
        <w:rPr>
          <w:rFonts w:ascii="Verdana" w:hAnsi="Verdana" w:cs="Arial"/>
          <w:sz w:val="20"/>
          <w:szCs w:val="20"/>
        </w:rPr>
        <w:t xml:space="preserve">para la </w:t>
      </w:r>
      <w:r w:rsidR="009558CC">
        <w:rPr>
          <w:rFonts w:ascii="Verdana" w:hAnsi="Verdana" w:cs="Arial"/>
          <w:sz w:val="20"/>
          <w:szCs w:val="20"/>
        </w:rPr>
        <w:t>contabilización</w:t>
      </w:r>
      <w:r w:rsidR="00094603">
        <w:rPr>
          <w:rFonts w:ascii="Verdana" w:hAnsi="Verdana" w:cs="Arial"/>
          <w:sz w:val="20"/>
          <w:szCs w:val="20"/>
        </w:rPr>
        <w:t xml:space="preserve"> de las operaciones de contado</w:t>
      </w:r>
      <w:r w:rsidR="00405D30">
        <w:rPr>
          <w:rFonts w:ascii="Verdana" w:hAnsi="Verdana" w:cs="Arial"/>
          <w:sz w:val="20"/>
          <w:szCs w:val="20"/>
        </w:rPr>
        <w:t xml:space="preserve"> de la presente sección</w:t>
      </w:r>
      <w:r w:rsidRPr="00211BF0">
        <w:rPr>
          <w:rFonts w:ascii="Verdana" w:hAnsi="Verdana" w:cs="Arial"/>
          <w:sz w:val="20"/>
          <w:szCs w:val="20"/>
        </w:rPr>
        <w:t>.</w:t>
      </w:r>
    </w:p>
    <w:p w14:paraId="0EC014F4" w14:textId="77777777" w:rsidR="000D2E94" w:rsidRPr="001E5259" w:rsidRDefault="000D2E94" w:rsidP="001E5259">
      <w:pPr>
        <w:tabs>
          <w:tab w:val="left" w:pos="540"/>
        </w:tabs>
        <w:spacing w:after="0" w:line="240" w:lineRule="auto"/>
        <w:jc w:val="both"/>
        <w:rPr>
          <w:rFonts w:ascii="Verdana" w:hAnsi="Verdana" w:cs="Arial"/>
          <w:bCs/>
          <w:sz w:val="20"/>
          <w:szCs w:val="20"/>
        </w:rPr>
      </w:pPr>
    </w:p>
    <w:p w14:paraId="1C776F01" w14:textId="77777777" w:rsidR="000D2E94" w:rsidRDefault="003704DA" w:rsidP="000D2E94">
      <w:pPr>
        <w:tabs>
          <w:tab w:val="left" w:pos="540"/>
        </w:tabs>
        <w:spacing w:after="0" w:line="240" w:lineRule="auto"/>
        <w:jc w:val="both"/>
        <w:rPr>
          <w:rFonts w:ascii="Verdana" w:hAnsi="Verdana" w:cs="Arial"/>
          <w:bCs/>
          <w:sz w:val="20"/>
          <w:szCs w:val="20"/>
        </w:rPr>
      </w:pPr>
      <w:r>
        <w:rPr>
          <w:rFonts w:ascii="Verdana" w:hAnsi="Verdana" w:cs="Arial"/>
          <w:bCs/>
          <w:sz w:val="20"/>
          <w:szCs w:val="20"/>
        </w:rPr>
        <w:t>3.7.1.4.</w:t>
      </w:r>
    </w:p>
    <w:p w14:paraId="6BA0F463" w14:textId="79F08DA8" w:rsidR="00FB3934" w:rsidRDefault="00FB3934" w:rsidP="000D2E94">
      <w:pPr>
        <w:tabs>
          <w:tab w:val="left" w:pos="540"/>
        </w:tabs>
        <w:spacing w:after="0" w:line="240" w:lineRule="auto"/>
        <w:jc w:val="both"/>
        <w:rPr>
          <w:rFonts w:ascii="Verdana" w:hAnsi="Verdana" w:cs="Arial"/>
          <w:sz w:val="20"/>
          <w:szCs w:val="20"/>
        </w:rPr>
      </w:pPr>
      <w:r w:rsidRPr="00211BF0">
        <w:rPr>
          <w:rFonts w:ascii="Verdana" w:hAnsi="Verdana" w:cs="Arial"/>
          <w:sz w:val="20"/>
          <w:szCs w:val="20"/>
        </w:rPr>
        <w:t xml:space="preserve">Las operaciones mediante las cuales se adquieran valores en emisiones primarias realizadas en el extranjero, cuya fecha de celebración o contratación sea anterior a la fecha de emisión de los valores objeto de las mismas, se entenderán como de contado siempre y cuando el plazo para su compensación y liquidación sea igual a la fecha de su celebración o de su registro, es decir, el mismo día (T+0) o dentro de los 3 días hábiles siguientes contados a partir del día siguiente a la emisión de los respectivos valores (T+3). En todo caso, para que estas operaciones se puedan </w:t>
      </w:r>
      <w:r w:rsidR="007C4DF1">
        <w:rPr>
          <w:rFonts w:ascii="Verdana" w:hAnsi="Verdana" w:cs="Arial"/>
          <w:sz w:val="20"/>
          <w:szCs w:val="20"/>
        </w:rPr>
        <w:t xml:space="preserve">considerar </w:t>
      </w:r>
      <w:r w:rsidRPr="00211BF0">
        <w:rPr>
          <w:rFonts w:ascii="Verdana" w:hAnsi="Verdana" w:cs="Arial"/>
          <w:sz w:val="20"/>
          <w:szCs w:val="20"/>
        </w:rPr>
        <w:t>como de contado será necesario que las mismas se liquiden y compensen a través del mecanismo de entrega contra pago.</w:t>
      </w:r>
    </w:p>
    <w:p w14:paraId="2F008331" w14:textId="77777777" w:rsidR="000D2E94" w:rsidRPr="000D2E94" w:rsidRDefault="000D2E94" w:rsidP="000D2E94">
      <w:pPr>
        <w:tabs>
          <w:tab w:val="left" w:pos="540"/>
        </w:tabs>
        <w:spacing w:after="0" w:line="240" w:lineRule="auto"/>
        <w:jc w:val="both"/>
        <w:rPr>
          <w:rFonts w:ascii="Verdana" w:hAnsi="Verdana" w:cs="Arial"/>
          <w:bCs/>
          <w:sz w:val="20"/>
          <w:szCs w:val="20"/>
        </w:rPr>
      </w:pPr>
    </w:p>
    <w:p w14:paraId="5C00BB06" w14:textId="4567A1E7" w:rsidR="003704DA" w:rsidRDefault="003704DA" w:rsidP="003704DA">
      <w:pPr>
        <w:tabs>
          <w:tab w:val="left" w:pos="540"/>
        </w:tabs>
        <w:spacing w:after="0" w:line="240" w:lineRule="auto"/>
        <w:jc w:val="both"/>
        <w:rPr>
          <w:rFonts w:ascii="Verdana" w:hAnsi="Verdana" w:cs="Arial"/>
          <w:bCs/>
          <w:sz w:val="20"/>
          <w:szCs w:val="20"/>
        </w:rPr>
      </w:pPr>
      <w:r>
        <w:rPr>
          <w:rFonts w:ascii="Verdana" w:hAnsi="Verdana" w:cs="Arial"/>
          <w:bCs/>
          <w:sz w:val="20"/>
          <w:szCs w:val="20"/>
        </w:rPr>
        <w:t>3.7.1.5.</w:t>
      </w:r>
    </w:p>
    <w:p w14:paraId="7658224C" w14:textId="4691CBEB" w:rsidR="00FB3934" w:rsidRPr="00211BF0" w:rsidRDefault="00FB3934" w:rsidP="00FB3934">
      <w:pPr>
        <w:widowControl w:val="0"/>
        <w:suppressLineNumbers/>
        <w:suppressAutoHyphens/>
        <w:ind w:right="49"/>
        <w:jc w:val="both"/>
        <w:rPr>
          <w:rFonts w:ascii="Verdana" w:hAnsi="Verdana" w:cs="Arial"/>
          <w:b/>
          <w:sz w:val="20"/>
          <w:szCs w:val="20"/>
        </w:rPr>
      </w:pPr>
      <w:r w:rsidRPr="00211BF0">
        <w:rPr>
          <w:rFonts w:ascii="Verdana" w:hAnsi="Verdana" w:cs="Arial"/>
          <w:sz w:val="20"/>
          <w:szCs w:val="20"/>
        </w:rPr>
        <w:t xml:space="preserve">Para efectos </w:t>
      </w:r>
      <w:r w:rsidR="00D7315A" w:rsidRPr="00211BF0">
        <w:rPr>
          <w:rFonts w:ascii="Verdana" w:hAnsi="Verdana" w:cs="Arial"/>
          <w:sz w:val="20"/>
          <w:szCs w:val="20"/>
        </w:rPr>
        <w:t>de las instrucciones de</w:t>
      </w:r>
      <w:r w:rsidR="00D55753">
        <w:rPr>
          <w:rFonts w:ascii="Verdana" w:hAnsi="Verdana" w:cs="Arial"/>
          <w:sz w:val="20"/>
          <w:szCs w:val="20"/>
        </w:rPr>
        <w:t xml:space="preserve"> </w:t>
      </w:r>
      <w:r w:rsidR="00D7315A" w:rsidRPr="00211BF0">
        <w:rPr>
          <w:rFonts w:ascii="Verdana" w:hAnsi="Verdana" w:cs="Arial"/>
          <w:sz w:val="20"/>
          <w:szCs w:val="20"/>
        </w:rPr>
        <w:t>l</w:t>
      </w:r>
      <w:r w:rsidR="00D55753">
        <w:rPr>
          <w:rFonts w:ascii="Verdana" w:hAnsi="Verdana" w:cs="Arial"/>
          <w:sz w:val="20"/>
          <w:szCs w:val="20"/>
        </w:rPr>
        <w:t>a</w:t>
      </w:r>
      <w:r w:rsidR="00D7315A" w:rsidRPr="00211BF0">
        <w:rPr>
          <w:rFonts w:ascii="Verdana" w:hAnsi="Verdana" w:cs="Arial"/>
          <w:sz w:val="20"/>
          <w:szCs w:val="20"/>
        </w:rPr>
        <w:t xml:space="preserve"> presente </w:t>
      </w:r>
      <w:r w:rsidR="00D55753">
        <w:rPr>
          <w:rFonts w:ascii="Verdana" w:hAnsi="Verdana" w:cs="Arial"/>
          <w:sz w:val="20"/>
          <w:szCs w:val="20"/>
        </w:rPr>
        <w:t>sección</w:t>
      </w:r>
      <w:r w:rsidR="00975CA6">
        <w:rPr>
          <w:rFonts w:ascii="Verdana" w:hAnsi="Verdana" w:cs="Arial"/>
          <w:sz w:val="20"/>
          <w:szCs w:val="20"/>
        </w:rPr>
        <w:t xml:space="preserve"> </w:t>
      </w:r>
      <w:r w:rsidRPr="00211BF0">
        <w:rPr>
          <w:rFonts w:ascii="Verdana" w:hAnsi="Verdana" w:cs="Arial"/>
          <w:sz w:val="20"/>
          <w:szCs w:val="20"/>
        </w:rPr>
        <w:t>se entiende que el día hábil siguiente a la celebración o registro de la operación corresponde a T+1.</w:t>
      </w:r>
    </w:p>
    <w:p w14:paraId="33BAEE9D" w14:textId="0E82082A" w:rsidR="003704DA" w:rsidRDefault="003704DA" w:rsidP="003704DA">
      <w:pPr>
        <w:tabs>
          <w:tab w:val="left" w:pos="540"/>
        </w:tabs>
        <w:spacing w:after="0" w:line="240" w:lineRule="auto"/>
        <w:jc w:val="both"/>
        <w:rPr>
          <w:rFonts w:ascii="Verdana" w:hAnsi="Verdana" w:cs="Arial"/>
          <w:bCs/>
          <w:sz w:val="20"/>
          <w:szCs w:val="20"/>
        </w:rPr>
      </w:pPr>
      <w:r w:rsidRPr="00D8094A">
        <w:rPr>
          <w:rFonts w:ascii="Verdana" w:hAnsi="Verdana" w:cs="Arial"/>
          <w:bCs/>
          <w:sz w:val="20"/>
          <w:szCs w:val="20"/>
        </w:rPr>
        <w:t>3.7.1.6.</w:t>
      </w:r>
    </w:p>
    <w:p w14:paraId="6B854C34" w14:textId="0BB6F2AB" w:rsidR="00FB3934" w:rsidRPr="00211BF0" w:rsidRDefault="00FB3934" w:rsidP="00FB3934">
      <w:pPr>
        <w:widowControl w:val="0"/>
        <w:suppressLineNumbers/>
        <w:suppressAutoHyphens/>
        <w:ind w:right="49"/>
        <w:jc w:val="both"/>
        <w:rPr>
          <w:rFonts w:ascii="Verdana" w:hAnsi="Verdana" w:cs="Arial"/>
          <w:b/>
          <w:sz w:val="20"/>
          <w:szCs w:val="20"/>
        </w:rPr>
      </w:pPr>
      <w:r w:rsidRPr="00211BF0">
        <w:rPr>
          <w:rFonts w:ascii="Verdana" w:hAnsi="Verdana" w:cs="Arial"/>
          <w:sz w:val="20"/>
          <w:szCs w:val="20"/>
        </w:rPr>
        <w:t>Para efectos de las instrucciones de</w:t>
      </w:r>
      <w:r w:rsidR="00A24CA6">
        <w:rPr>
          <w:rFonts w:ascii="Verdana" w:hAnsi="Verdana" w:cs="Arial"/>
          <w:sz w:val="20"/>
          <w:szCs w:val="20"/>
        </w:rPr>
        <w:t xml:space="preserve"> </w:t>
      </w:r>
      <w:r w:rsidRPr="00211BF0">
        <w:rPr>
          <w:rFonts w:ascii="Verdana" w:hAnsi="Verdana" w:cs="Arial"/>
          <w:sz w:val="20"/>
          <w:szCs w:val="20"/>
        </w:rPr>
        <w:t>l</w:t>
      </w:r>
      <w:r w:rsidR="00A24CA6">
        <w:rPr>
          <w:rFonts w:ascii="Verdana" w:hAnsi="Verdana" w:cs="Arial"/>
          <w:sz w:val="20"/>
          <w:szCs w:val="20"/>
        </w:rPr>
        <w:t>a</w:t>
      </w:r>
      <w:r w:rsidRPr="00211BF0">
        <w:rPr>
          <w:rFonts w:ascii="Verdana" w:hAnsi="Verdana" w:cs="Arial"/>
          <w:sz w:val="20"/>
          <w:szCs w:val="20"/>
        </w:rPr>
        <w:t xml:space="preserve"> presente </w:t>
      </w:r>
      <w:r w:rsidR="00A24CA6">
        <w:rPr>
          <w:rFonts w:ascii="Verdana" w:hAnsi="Verdana" w:cs="Arial"/>
          <w:sz w:val="20"/>
          <w:szCs w:val="20"/>
        </w:rPr>
        <w:t>sección</w:t>
      </w:r>
      <w:r w:rsidRPr="00211BF0">
        <w:rPr>
          <w:rFonts w:ascii="Verdana" w:hAnsi="Verdana" w:cs="Arial"/>
          <w:sz w:val="20"/>
          <w:szCs w:val="20"/>
        </w:rPr>
        <w:t>, no se consideran operaciones de contado</w:t>
      </w:r>
      <w:r w:rsidR="00496B00">
        <w:rPr>
          <w:rFonts w:ascii="Verdana" w:hAnsi="Verdana" w:cs="Arial"/>
          <w:sz w:val="20"/>
          <w:szCs w:val="20"/>
        </w:rPr>
        <w:t>,</w:t>
      </w:r>
      <w:r w:rsidRPr="00211BF0">
        <w:rPr>
          <w:rFonts w:ascii="Verdana" w:hAnsi="Verdana" w:cs="Arial"/>
          <w:sz w:val="20"/>
          <w:szCs w:val="20"/>
        </w:rPr>
        <w:t xml:space="preserve"> las operaciones del mercado monetario</w:t>
      </w:r>
      <w:r w:rsidR="00134E56">
        <w:rPr>
          <w:rFonts w:ascii="Verdana" w:hAnsi="Verdana" w:cs="Arial"/>
          <w:sz w:val="20"/>
          <w:szCs w:val="20"/>
        </w:rPr>
        <w:t xml:space="preserve"> previstas en el párrafo 3.7.2.2.</w:t>
      </w:r>
      <w:r w:rsidRPr="00211BF0" w:rsidDel="00134E56">
        <w:rPr>
          <w:rFonts w:ascii="Verdana" w:hAnsi="Verdana" w:cs="Arial"/>
          <w:sz w:val="20"/>
          <w:szCs w:val="20"/>
        </w:rPr>
        <w:t xml:space="preserve"> de </w:t>
      </w:r>
      <w:r w:rsidR="00272A5C">
        <w:rPr>
          <w:rFonts w:ascii="Verdana" w:hAnsi="Verdana" w:cs="Arial"/>
          <w:sz w:val="20"/>
          <w:szCs w:val="20"/>
        </w:rPr>
        <w:t xml:space="preserve">la CBF. </w:t>
      </w:r>
    </w:p>
    <w:p w14:paraId="2D7FE2C4" w14:textId="31C8BBB4" w:rsidR="003704DA" w:rsidRDefault="003704DA" w:rsidP="003704DA">
      <w:pPr>
        <w:tabs>
          <w:tab w:val="left" w:pos="540"/>
        </w:tabs>
        <w:spacing w:after="0" w:line="240" w:lineRule="auto"/>
        <w:jc w:val="both"/>
        <w:rPr>
          <w:rFonts w:ascii="Verdana" w:hAnsi="Verdana" w:cs="Arial"/>
          <w:bCs/>
          <w:sz w:val="20"/>
          <w:szCs w:val="20"/>
        </w:rPr>
      </w:pPr>
      <w:r>
        <w:rPr>
          <w:rFonts w:ascii="Verdana" w:hAnsi="Verdana" w:cs="Arial"/>
          <w:bCs/>
          <w:sz w:val="20"/>
          <w:szCs w:val="20"/>
        </w:rPr>
        <w:t>3.7.1.7.</w:t>
      </w:r>
    </w:p>
    <w:p w14:paraId="3A410F5B" w14:textId="4996946F" w:rsidR="0049253B" w:rsidRDefault="00FB3934" w:rsidP="00FB3934">
      <w:pPr>
        <w:widowControl w:val="0"/>
        <w:suppressLineNumbers/>
        <w:suppressAutoHyphens/>
        <w:ind w:right="49"/>
        <w:jc w:val="both"/>
        <w:rPr>
          <w:rFonts w:ascii="Verdana" w:hAnsi="Verdana" w:cs="Arial"/>
          <w:b/>
          <w:bCs/>
          <w:sz w:val="20"/>
          <w:szCs w:val="20"/>
        </w:rPr>
      </w:pPr>
      <w:r w:rsidRPr="57146927">
        <w:rPr>
          <w:rFonts w:ascii="Verdana" w:hAnsi="Verdana" w:cs="Arial"/>
          <w:sz w:val="20"/>
          <w:szCs w:val="20"/>
        </w:rPr>
        <w:t>Las instrucciones de</w:t>
      </w:r>
      <w:r w:rsidR="00A24CA6">
        <w:rPr>
          <w:rFonts w:ascii="Verdana" w:hAnsi="Verdana" w:cs="Arial"/>
          <w:sz w:val="20"/>
          <w:szCs w:val="20"/>
        </w:rPr>
        <w:t xml:space="preserve"> </w:t>
      </w:r>
      <w:r w:rsidRPr="57146927">
        <w:rPr>
          <w:rFonts w:ascii="Verdana" w:hAnsi="Verdana" w:cs="Arial"/>
          <w:sz w:val="20"/>
          <w:szCs w:val="20"/>
        </w:rPr>
        <w:t>l</w:t>
      </w:r>
      <w:r w:rsidR="00A24CA6">
        <w:rPr>
          <w:rFonts w:ascii="Verdana" w:hAnsi="Verdana" w:cs="Arial"/>
          <w:sz w:val="20"/>
          <w:szCs w:val="20"/>
        </w:rPr>
        <w:t>a</w:t>
      </w:r>
      <w:r w:rsidRPr="57146927">
        <w:rPr>
          <w:rFonts w:ascii="Verdana" w:hAnsi="Verdana" w:cs="Arial"/>
          <w:sz w:val="20"/>
          <w:szCs w:val="20"/>
        </w:rPr>
        <w:t xml:space="preserve"> presente </w:t>
      </w:r>
      <w:r w:rsidR="00A24CA6">
        <w:rPr>
          <w:rFonts w:ascii="Verdana" w:hAnsi="Verdana" w:cs="Arial"/>
          <w:sz w:val="20"/>
          <w:szCs w:val="20"/>
        </w:rPr>
        <w:t>sección</w:t>
      </w:r>
      <w:r w:rsidR="00975CA6">
        <w:rPr>
          <w:rFonts w:ascii="Verdana" w:hAnsi="Verdana" w:cs="Arial"/>
          <w:sz w:val="20"/>
          <w:szCs w:val="20"/>
        </w:rPr>
        <w:t xml:space="preserve"> </w:t>
      </w:r>
      <w:r w:rsidRPr="57146927">
        <w:rPr>
          <w:rFonts w:ascii="Verdana" w:hAnsi="Verdana" w:cs="Arial"/>
          <w:sz w:val="20"/>
          <w:szCs w:val="20"/>
        </w:rPr>
        <w:t xml:space="preserve">no son aplicables a las operaciones con instrumentos financieros derivados y productos estructurados, las cuales se rigen por lo previsto en el libro 35 de la parte 2 del Decreto 2555 de 2010, </w:t>
      </w:r>
      <w:r w:rsidR="00D74E37">
        <w:rPr>
          <w:rFonts w:ascii="Verdana" w:hAnsi="Verdana" w:cs="Arial"/>
          <w:sz w:val="20"/>
          <w:szCs w:val="20"/>
        </w:rPr>
        <w:t>el capítulo 5 de la parte 3 de la CBF</w:t>
      </w:r>
      <w:r w:rsidRPr="57146927">
        <w:rPr>
          <w:rFonts w:ascii="Verdana" w:hAnsi="Verdana" w:cs="Arial"/>
          <w:sz w:val="20"/>
          <w:szCs w:val="20"/>
        </w:rPr>
        <w:t xml:space="preserve">, en la </w:t>
      </w:r>
      <w:r w:rsidR="00D74E37">
        <w:rPr>
          <w:rFonts w:ascii="Verdana" w:hAnsi="Verdana" w:cs="Arial"/>
          <w:sz w:val="20"/>
          <w:szCs w:val="20"/>
        </w:rPr>
        <w:t>R</w:t>
      </w:r>
      <w:r w:rsidRPr="57146927">
        <w:rPr>
          <w:rFonts w:ascii="Verdana" w:hAnsi="Verdana" w:cs="Arial"/>
          <w:sz w:val="20"/>
          <w:szCs w:val="20"/>
        </w:rPr>
        <w:t xml:space="preserve">esolución </w:t>
      </w:r>
      <w:r w:rsidR="00D74E37">
        <w:rPr>
          <w:rFonts w:ascii="Verdana" w:hAnsi="Verdana" w:cs="Arial"/>
          <w:sz w:val="20"/>
          <w:szCs w:val="20"/>
        </w:rPr>
        <w:t>E</w:t>
      </w:r>
      <w:r w:rsidRPr="57146927">
        <w:rPr>
          <w:rFonts w:ascii="Verdana" w:hAnsi="Verdana" w:cs="Arial"/>
          <w:sz w:val="20"/>
          <w:szCs w:val="20"/>
        </w:rPr>
        <w:t>xterna 1 de 2018 del Banco de la República, y en las demás disposiciones concordantes o que modifiquen o sustituyan las normas vigentes.</w:t>
      </w:r>
    </w:p>
    <w:p w14:paraId="07B00E2C" w14:textId="67414D12" w:rsidR="00FB3934" w:rsidRPr="008529B2" w:rsidRDefault="00120C45" w:rsidP="00FB3934">
      <w:pPr>
        <w:widowControl w:val="0"/>
        <w:suppressLineNumbers/>
        <w:suppressAutoHyphens/>
        <w:ind w:right="49"/>
        <w:jc w:val="both"/>
        <w:rPr>
          <w:rFonts w:ascii="Verdana" w:hAnsi="Verdana" w:cs="Arial"/>
          <w:b/>
          <w:bCs/>
          <w:sz w:val="20"/>
          <w:szCs w:val="20"/>
        </w:rPr>
      </w:pPr>
      <w:r w:rsidRPr="008529B2">
        <w:rPr>
          <w:rFonts w:ascii="Verdana" w:hAnsi="Verdana" w:cs="Arial"/>
          <w:b/>
          <w:bCs/>
          <w:sz w:val="20"/>
          <w:szCs w:val="20"/>
        </w:rPr>
        <w:t>OPERATIVIDAD</w:t>
      </w:r>
    </w:p>
    <w:p w14:paraId="7CD5A6F4" w14:textId="6EF60C25" w:rsidR="003704DA" w:rsidRDefault="003704DA" w:rsidP="003704DA">
      <w:pPr>
        <w:tabs>
          <w:tab w:val="left" w:pos="540"/>
        </w:tabs>
        <w:spacing w:after="0" w:line="240" w:lineRule="auto"/>
        <w:jc w:val="both"/>
        <w:rPr>
          <w:rFonts w:ascii="Verdana" w:hAnsi="Verdana" w:cs="Arial"/>
          <w:bCs/>
          <w:sz w:val="20"/>
          <w:szCs w:val="20"/>
        </w:rPr>
      </w:pPr>
      <w:r>
        <w:rPr>
          <w:rFonts w:ascii="Verdana" w:hAnsi="Verdana" w:cs="Arial"/>
          <w:bCs/>
          <w:sz w:val="20"/>
          <w:szCs w:val="20"/>
        </w:rPr>
        <w:t>3.7.1.8.</w:t>
      </w:r>
    </w:p>
    <w:p w14:paraId="42D1092E" w14:textId="5A657A55" w:rsidR="00FB3934" w:rsidRPr="00211BF0" w:rsidRDefault="0060589F" w:rsidP="00FB3934">
      <w:pPr>
        <w:widowControl w:val="0"/>
        <w:suppressLineNumbers/>
        <w:suppressAutoHyphens/>
        <w:ind w:right="49"/>
        <w:jc w:val="both"/>
        <w:rPr>
          <w:rFonts w:ascii="Verdana" w:hAnsi="Verdana" w:cs="Arial"/>
          <w:b/>
          <w:sz w:val="20"/>
          <w:szCs w:val="20"/>
        </w:rPr>
      </w:pPr>
      <w:r>
        <w:rPr>
          <w:rFonts w:ascii="Verdana" w:hAnsi="Verdana" w:cs="Arial"/>
          <w:sz w:val="20"/>
          <w:szCs w:val="20"/>
        </w:rPr>
        <w:t>Las</w:t>
      </w:r>
      <w:r w:rsidR="00FB3934" w:rsidRPr="00211BF0" w:rsidDel="0060589F">
        <w:rPr>
          <w:rFonts w:ascii="Verdana" w:hAnsi="Verdana" w:cs="Arial"/>
          <w:sz w:val="20"/>
          <w:szCs w:val="20"/>
        </w:rPr>
        <w:t xml:space="preserve"> </w:t>
      </w:r>
      <w:r w:rsidR="00FB3934" w:rsidRPr="00211BF0">
        <w:rPr>
          <w:rFonts w:ascii="Verdana" w:hAnsi="Verdana" w:cs="Arial"/>
          <w:sz w:val="20"/>
          <w:szCs w:val="20"/>
        </w:rPr>
        <w:t xml:space="preserve">negociaciones sobre títulos o valores </w:t>
      </w:r>
      <w:r w:rsidR="00FB3934" w:rsidRPr="00211BF0">
        <w:rPr>
          <w:rFonts w:ascii="Verdana" w:hAnsi="Verdana" w:cs="Arial"/>
          <w:bCs/>
          <w:sz w:val="20"/>
          <w:szCs w:val="20"/>
        </w:rPr>
        <w:t>que no se encuentren en depósitos centralizados de valores</w:t>
      </w:r>
      <w:r w:rsidR="00FB3934" w:rsidRPr="00211BF0">
        <w:rPr>
          <w:rFonts w:ascii="Verdana" w:hAnsi="Verdana" w:cs="Arial"/>
          <w:sz w:val="20"/>
          <w:szCs w:val="20"/>
        </w:rPr>
        <w:t xml:space="preserve"> y requieran la anotación o registro del nuevo titular en el libro de tenedores de la entidad emisora para efectos del perfeccionamiento de la operación de compraventa, las partes contratantes deben tener en cuenta que el plazo máximo de cumplimiento </w:t>
      </w:r>
      <w:r w:rsidR="00F12C0B">
        <w:rPr>
          <w:rFonts w:ascii="Verdana" w:hAnsi="Verdana" w:cs="Arial"/>
          <w:sz w:val="20"/>
          <w:szCs w:val="20"/>
        </w:rPr>
        <w:t>señalado en el párrafo 3.</w:t>
      </w:r>
      <w:r w:rsidR="00AC697D">
        <w:rPr>
          <w:rFonts w:ascii="Verdana" w:hAnsi="Verdana" w:cs="Arial"/>
          <w:sz w:val="20"/>
          <w:szCs w:val="20"/>
        </w:rPr>
        <w:t xml:space="preserve">7.1.2. </w:t>
      </w:r>
      <w:r w:rsidR="00FB3934" w:rsidRPr="00211BF0">
        <w:rPr>
          <w:rFonts w:ascii="Verdana" w:hAnsi="Verdana" w:cs="Arial"/>
          <w:sz w:val="20"/>
          <w:szCs w:val="20"/>
        </w:rPr>
        <w:t xml:space="preserve">comprende la realización de dicho registro. Por tal razón, si la operación de compraventa no puede cumplirse previsiblemente dentro de dicho plazo, la misma no podrá negociarse, valorarse </w:t>
      </w:r>
      <w:r w:rsidR="0074779C">
        <w:rPr>
          <w:rFonts w:ascii="Verdana" w:hAnsi="Verdana" w:cs="Arial"/>
          <w:sz w:val="20"/>
          <w:szCs w:val="20"/>
        </w:rPr>
        <w:t>ni</w:t>
      </w:r>
      <w:r w:rsidR="00FB3934" w:rsidRPr="00211BF0">
        <w:rPr>
          <w:rFonts w:ascii="Verdana" w:hAnsi="Verdana" w:cs="Arial"/>
          <w:sz w:val="20"/>
          <w:szCs w:val="20"/>
        </w:rPr>
        <w:t xml:space="preserve"> contabilizarse como una </w:t>
      </w:r>
      <w:r w:rsidR="00FB3934" w:rsidRPr="00211BF0">
        <w:rPr>
          <w:rFonts w:ascii="Verdana" w:hAnsi="Verdana" w:cs="Arial"/>
          <w:sz w:val="20"/>
          <w:szCs w:val="20"/>
        </w:rPr>
        <w:lastRenderedPageBreak/>
        <w:t>operación de contado.</w:t>
      </w:r>
    </w:p>
    <w:p w14:paraId="703CD4AF" w14:textId="7E3557E6" w:rsidR="003704DA" w:rsidRDefault="003704DA" w:rsidP="003704DA">
      <w:pPr>
        <w:tabs>
          <w:tab w:val="left" w:pos="540"/>
        </w:tabs>
        <w:spacing w:after="0" w:line="240" w:lineRule="auto"/>
        <w:jc w:val="both"/>
        <w:rPr>
          <w:rFonts w:ascii="Verdana" w:hAnsi="Verdana" w:cs="Arial"/>
          <w:bCs/>
          <w:sz w:val="20"/>
          <w:szCs w:val="20"/>
        </w:rPr>
      </w:pPr>
      <w:r>
        <w:rPr>
          <w:rFonts w:ascii="Verdana" w:hAnsi="Verdana" w:cs="Arial"/>
          <w:bCs/>
          <w:sz w:val="20"/>
          <w:szCs w:val="20"/>
        </w:rPr>
        <w:t>3.7.1.9.</w:t>
      </w:r>
    </w:p>
    <w:p w14:paraId="5E4D20A8" w14:textId="61A7150F" w:rsidR="00FB3934" w:rsidRPr="00211BF0" w:rsidRDefault="00FB3934" w:rsidP="00FB3934">
      <w:pPr>
        <w:widowControl w:val="0"/>
        <w:suppressLineNumbers/>
        <w:suppressAutoHyphens/>
        <w:ind w:right="49"/>
        <w:jc w:val="both"/>
        <w:rPr>
          <w:rFonts w:ascii="Verdana" w:hAnsi="Verdana" w:cs="Arial"/>
          <w:b/>
          <w:bCs/>
          <w:sz w:val="20"/>
          <w:szCs w:val="20"/>
        </w:rPr>
      </w:pPr>
      <w:r w:rsidRPr="00211BF0">
        <w:rPr>
          <w:rFonts w:ascii="Verdana" w:hAnsi="Verdana" w:cs="Arial"/>
          <w:sz w:val="20"/>
          <w:szCs w:val="20"/>
        </w:rPr>
        <w:t xml:space="preserve">Transcurrido el plazo máximo señalado para el cumplimiento de una operación de contado sin que ésta se haya cumplido, se declara el incumplimiento del compromiso, </w:t>
      </w:r>
      <w:r w:rsidRPr="00211BF0">
        <w:rPr>
          <w:rFonts w:ascii="Verdana" w:hAnsi="Verdana" w:cs="Arial"/>
          <w:bCs/>
          <w:sz w:val="20"/>
          <w:szCs w:val="20"/>
        </w:rPr>
        <w:t>sin perjuicio de las disposiciones y figuras especiales que contemplen los reglamentos de los sistemas de compensación y liquidación o las cámaras de riesgo central de contraparte, y de las sanciones o costos a que haya lugar.</w:t>
      </w:r>
    </w:p>
    <w:p w14:paraId="5F7A1A2C" w14:textId="6A4B017E" w:rsidR="003704DA" w:rsidRDefault="003704DA" w:rsidP="003704DA">
      <w:pPr>
        <w:tabs>
          <w:tab w:val="left" w:pos="540"/>
        </w:tabs>
        <w:spacing w:after="0" w:line="240" w:lineRule="auto"/>
        <w:jc w:val="both"/>
        <w:rPr>
          <w:rFonts w:ascii="Verdana" w:hAnsi="Verdana" w:cs="Arial"/>
          <w:bCs/>
          <w:sz w:val="20"/>
          <w:szCs w:val="20"/>
        </w:rPr>
      </w:pPr>
      <w:r>
        <w:rPr>
          <w:rFonts w:ascii="Verdana" w:hAnsi="Verdana" w:cs="Arial"/>
          <w:bCs/>
          <w:sz w:val="20"/>
          <w:szCs w:val="20"/>
        </w:rPr>
        <w:t>3.7.1.10.</w:t>
      </w:r>
    </w:p>
    <w:p w14:paraId="501E82B9" w14:textId="422084B4" w:rsidR="0049253B" w:rsidRPr="00A6264C" w:rsidRDefault="00FB3934" w:rsidP="00FB3934">
      <w:pPr>
        <w:widowControl w:val="0"/>
        <w:suppressLineNumbers/>
        <w:suppressAutoHyphens/>
        <w:ind w:right="49"/>
        <w:jc w:val="both"/>
        <w:rPr>
          <w:rFonts w:ascii="Verdana" w:hAnsi="Verdana" w:cs="Arial"/>
          <w:b/>
          <w:sz w:val="20"/>
          <w:szCs w:val="20"/>
        </w:rPr>
      </w:pPr>
      <w:r w:rsidRPr="00211BF0">
        <w:rPr>
          <w:rFonts w:ascii="Verdana" w:hAnsi="Verdana" w:cs="Arial"/>
          <w:bCs/>
          <w:sz w:val="20"/>
          <w:szCs w:val="20"/>
        </w:rPr>
        <w:t>Cuando la normatividad y los reglamentos de los sistemas de compensación y liquidación o las cámaras de riesgo central de contraparte</w:t>
      </w:r>
      <w:r w:rsidRPr="00211BF0" w:rsidDel="00BD1675">
        <w:rPr>
          <w:rFonts w:ascii="Verdana" w:hAnsi="Verdana" w:cs="Arial"/>
          <w:bCs/>
          <w:sz w:val="20"/>
          <w:szCs w:val="20"/>
        </w:rPr>
        <w:t xml:space="preserve"> </w:t>
      </w:r>
      <w:r w:rsidRPr="00211BF0">
        <w:rPr>
          <w:rFonts w:ascii="Verdana" w:hAnsi="Verdana" w:cs="Arial"/>
          <w:bCs/>
          <w:sz w:val="20"/>
          <w:szCs w:val="20"/>
        </w:rPr>
        <w:t>así lo permitan, y en caso de que las partes aún deseen realizar la operación incumplida,</w:t>
      </w:r>
      <w:r w:rsidRPr="00211BF0">
        <w:rPr>
          <w:rFonts w:ascii="Verdana" w:hAnsi="Verdana" w:cs="Arial"/>
          <w:sz w:val="20"/>
          <w:szCs w:val="20"/>
        </w:rPr>
        <w:t xml:space="preserve"> se deberá celebrar una nueva operación bajo las condiciones que prevalezcan en la nueva fecha de ejecución.</w:t>
      </w:r>
    </w:p>
    <w:p w14:paraId="03D4CB16" w14:textId="7BCCB335" w:rsidR="00FB3934" w:rsidRPr="008529B2" w:rsidRDefault="00120C45" w:rsidP="00FB3934">
      <w:pPr>
        <w:widowControl w:val="0"/>
        <w:suppressLineNumbers/>
        <w:suppressAutoHyphens/>
        <w:ind w:right="49"/>
        <w:jc w:val="both"/>
        <w:rPr>
          <w:rFonts w:ascii="Verdana" w:hAnsi="Verdana" w:cs="Arial"/>
          <w:b/>
          <w:bCs/>
          <w:sz w:val="20"/>
          <w:szCs w:val="20"/>
        </w:rPr>
      </w:pPr>
      <w:r w:rsidRPr="008529B2">
        <w:rPr>
          <w:rFonts w:ascii="Verdana" w:hAnsi="Verdana" w:cs="Arial"/>
          <w:b/>
          <w:bCs/>
          <w:sz w:val="20"/>
          <w:szCs w:val="20"/>
        </w:rPr>
        <w:t>CONTABILIZACIÓN DE LAS OPERACIONES DE CONTADO</w:t>
      </w:r>
    </w:p>
    <w:p w14:paraId="1185564A" w14:textId="57903B97" w:rsidR="003D0EBA" w:rsidRDefault="003D0EBA" w:rsidP="003D0EBA">
      <w:pPr>
        <w:tabs>
          <w:tab w:val="left" w:pos="540"/>
        </w:tabs>
        <w:spacing w:after="0" w:line="240" w:lineRule="auto"/>
        <w:jc w:val="both"/>
        <w:rPr>
          <w:rFonts w:ascii="Verdana" w:hAnsi="Verdana" w:cs="Arial"/>
          <w:bCs/>
          <w:sz w:val="20"/>
          <w:szCs w:val="20"/>
        </w:rPr>
      </w:pPr>
      <w:r>
        <w:rPr>
          <w:rFonts w:ascii="Verdana" w:hAnsi="Verdana" w:cs="Arial"/>
          <w:bCs/>
          <w:sz w:val="20"/>
          <w:szCs w:val="20"/>
        </w:rPr>
        <w:t>3.7.1.11.</w:t>
      </w:r>
    </w:p>
    <w:p w14:paraId="53F5AAAE" w14:textId="0FA3EB36" w:rsidR="00760AF3" w:rsidRPr="00211BF0" w:rsidRDefault="00FB3934" w:rsidP="00760AF3">
      <w:pPr>
        <w:widowControl w:val="0"/>
        <w:suppressLineNumbers/>
        <w:suppressAutoHyphens/>
        <w:ind w:right="49"/>
        <w:jc w:val="both"/>
        <w:rPr>
          <w:rFonts w:ascii="Verdana" w:hAnsi="Verdana" w:cs="Arial"/>
          <w:b/>
          <w:sz w:val="20"/>
          <w:szCs w:val="20"/>
          <w:lang w:val="es-MX"/>
        </w:rPr>
      </w:pPr>
      <w:r w:rsidRPr="00211BF0">
        <w:rPr>
          <w:rFonts w:ascii="Verdana" w:hAnsi="Verdana" w:cs="Arial"/>
          <w:sz w:val="20"/>
          <w:szCs w:val="20"/>
          <w:lang w:val="es-MX"/>
        </w:rPr>
        <w:t xml:space="preserve">Las inversiones negociadas en operaciones de contado se contabilizarán en los estados financieros de las entidades en </w:t>
      </w:r>
      <w:r w:rsidRPr="0097562E">
        <w:rPr>
          <w:rFonts w:ascii="Verdana" w:hAnsi="Verdana" w:cs="Arial"/>
          <w:sz w:val="20"/>
          <w:szCs w:val="20"/>
          <w:lang w:val="es-MX"/>
        </w:rPr>
        <w:t>la fecha de cumplimiento o liquidación</w:t>
      </w:r>
      <w:r w:rsidRPr="007A4343">
        <w:rPr>
          <w:rFonts w:ascii="Verdana" w:hAnsi="Verdana" w:cs="Arial"/>
          <w:sz w:val="20"/>
          <w:szCs w:val="20"/>
          <w:lang w:val="es-MX"/>
        </w:rPr>
        <w:t>.</w:t>
      </w:r>
      <w:r w:rsidRPr="00211BF0">
        <w:rPr>
          <w:rFonts w:ascii="Verdana" w:hAnsi="Verdana" w:cs="Arial"/>
          <w:sz w:val="20"/>
          <w:szCs w:val="20"/>
          <w:lang w:val="es-MX"/>
        </w:rPr>
        <w:t xml:space="preserve"> Sin perjuicio de lo anterior, </w:t>
      </w:r>
      <w:r w:rsidR="004078F1">
        <w:rPr>
          <w:rFonts w:ascii="Verdana" w:hAnsi="Verdana" w:cs="Arial"/>
          <w:sz w:val="20"/>
          <w:szCs w:val="20"/>
          <w:lang w:val="es-MX"/>
        </w:rPr>
        <w:t xml:space="preserve">a partir de la fecha de negociación </w:t>
      </w:r>
      <w:r w:rsidR="00292AA7">
        <w:rPr>
          <w:rFonts w:ascii="Verdana" w:hAnsi="Verdana" w:cs="Arial"/>
          <w:sz w:val="20"/>
          <w:szCs w:val="20"/>
          <w:lang w:val="es-MX"/>
        </w:rPr>
        <w:t xml:space="preserve">el comprador </w:t>
      </w:r>
      <w:r w:rsidR="00811C18">
        <w:rPr>
          <w:rFonts w:ascii="Verdana" w:hAnsi="Verdana" w:cs="Arial"/>
          <w:sz w:val="20"/>
          <w:szCs w:val="20"/>
          <w:lang w:val="es-MX"/>
        </w:rPr>
        <w:t xml:space="preserve">debe reconocer el derecho a recibir el activo negociado </w:t>
      </w:r>
      <w:r w:rsidR="00124CE7">
        <w:rPr>
          <w:rFonts w:ascii="Verdana" w:hAnsi="Verdana" w:cs="Arial"/>
          <w:sz w:val="20"/>
          <w:szCs w:val="20"/>
          <w:lang w:val="es-MX"/>
        </w:rPr>
        <w:t xml:space="preserve">y </w:t>
      </w:r>
      <w:r w:rsidR="00F51DA9">
        <w:rPr>
          <w:rFonts w:ascii="Verdana" w:hAnsi="Verdana" w:cs="Arial"/>
          <w:sz w:val="20"/>
          <w:szCs w:val="20"/>
          <w:lang w:val="es-MX"/>
        </w:rPr>
        <w:t>l</w:t>
      </w:r>
      <w:r w:rsidR="00D04CAC">
        <w:rPr>
          <w:rFonts w:ascii="Verdana" w:hAnsi="Verdana" w:cs="Arial"/>
          <w:sz w:val="20"/>
          <w:szCs w:val="20"/>
          <w:lang w:val="es-MX"/>
        </w:rPr>
        <w:t>os</w:t>
      </w:r>
      <w:r w:rsidR="00F51DA9">
        <w:rPr>
          <w:rFonts w:ascii="Verdana" w:hAnsi="Verdana" w:cs="Arial"/>
          <w:sz w:val="20"/>
          <w:szCs w:val="20"/>
          <w:lang w:val="es-MX"/>
        </w:rPr>
        <w:t xml:space="preserve"> </w:t>
      </w:r>
      <w:r w:rsidR="00124CE7">
        <w:rPr>
          <w:rFonts w:ascii="Verdana" w:hAnsi="Verdana" w:cs="Arial"/>
          <w:sz w:val="20"/>
          <w:szCs w:val="20"/>
          <w:lang w:val="es-MX"/>
        </w:rPr>
        <w:t>correspondiente</w:t>
      </w:r>
      <w:r w:rsidR="00D04CAC">
        <w:rPr>
          <w:rFonts w:ascii="Verdana" w:hAnsi="Verdana" w:cs="Arial"/>
          <w:sz w:val="20"/>
          <w:szCs w:val="20"/>
          <w:lang w:val="es-MX"/>
        </w:rPr>
        <w:t>s</w:t>
      </w:r>
      <w:r w:rsidR="00124CE7">
        <w:rPr>
          <w:rFonts w:ascii="Verdana" w:hAnsi="Verdana" w:cs="Arial"/>
          <w:sz w:val="20"/>
          <w:szCs w:val="20"/>
          <w:lang w:val="es-MX"/>
        </w:rPr>
        <w:t xml:space="preserve"> </w:t>
      </w:r>
      <w:r w:rsidR="001E366A">
        <w:rPr>
          <w:rFonts w:ascii="Verdana" w:hAnsi="Verdana" w:cs="Arial"/>
          <w:sz w:val="20"/>
          <w:szCs w:val="20"/>
          <w:lang w:val="es-MX"/>
        </w:rPr>
        <w:t xml:space="preserve">cambios diarios </w:t>
      </w:r>
      <w:r w:rsidRPr="00211BF0">
        <w:rPr>
          <w:rFonts w:ascii="Verdana" w:hAnsi="Verdana" w:cs="Arial"/>
          <w:sz w:val="20"/>
          <w:szCs w:val="20"/>
          <w:lang w:val="es-MX"/>
        </w:rPr>
        <w:t xml:space="preserve">en el valor de mercado de los instrumentos adquiridos con </w:t>
      </w:r>
      <w:r w:rsidR="001E366A">
        <w:rPr>
          <w:rFonts w:ascii="Verdana" w:hAnsi="Verdana" w:cs="Arial"/>
          <w:sz w:val="20"/>
          <w:szCs w:val="20"/>
          <w:lang w:val="es-MX"/>
        </w:rPr>
        <w:t xml:space="preserve">efecto </w:t>
      </w:r>
      <w:r w:rsidRPr="00211BF0">
        <w:rPr>
          <w:rFonts w:ascii="Verdana" w:hAnsi="Verdana" w:cs="Arial"/>
          <w:sz w:val="20"/>
          <w:szCs w:val="20"/>
          <w:lang w:val="es-MX"/>
        </w:rPr>
        <w:t xml:space="preserve">en </w:t>
      </w:r>
      <w:r w:rsidR="00AC42C1">
        <w:rPr>
          <w:rFonts w:ascii="Verdana" w:hAnsi="Verdana" w:cs="Arial"/>
          <w:sz w:val="20"/>
          <w:szCs w:val="20"/>
          <w:lang w:val="es-MX"/>
        </w:rPr>
        <w:t xml:space="preserve">el estado </w:t>
      </w:r>
      <w:r w:rsidRPr="00211BF0">
        <w:rPr>
          <w:rFonts w:ascii="Verdana" w:hAnsi="Verdana" w:cs="Arial"/>
          <w:sz w:val="20"/>
          <w:szCs w:val="20"/>
          <w:lang w:val="es-MX"/>
        </w:rPr>
        <w:t xml:space="preserve">resultados. </w:t>
      </w:r>
      <w:r w:rsidR="00760AF3">
        <w:rPr>
          <w:rFonts w:ascii="Verdana" w:hAnsi="Verdana" w:cs="Arial"/>
          <w:sz w:val="20"/>
          <w:szCs w:val="20"/>
          <w:lang w:val="es-MX"/>
        </w:rPr>
        <w:t xml:space="preserve">Igualmente </w:t>
      </w:r>
      <w:r w:rsidR="001E366A">
        <w:rPr>
          <w:rFonts w:ascii="Verdana" w:hAnsi="Verdana" w:cs="Arial"/>
          <w:sz w:val="20"/>
          <w:szCs w:val="20"/>
          <w:lang w:val="es-MX"/>
        </w:rPr>
        <w:t xml:space="preserve">se </w:t>
      </w:r>
      <w:r w:rsidR="00760AF3">
        <w:rPr>
          <w:rFonts w:ascii="Verdana" w:hAnsi="Verdana" w:cs="Arial"/>
          <w:sz w:val="20"/>
          <w:szCs w:val="20"/>
          <w:lang w:val="es-MX"/>
        </w:rPr>
        <w:t xml:space="preserve">debe reconocer </w:t>
      </w:r>
      <w:r w:rsidR="00E35C25">
        <w:rPr>
          <w:rFonts w:ascii="Verdana" w:hAnsi="Verdana" w:cs="Arial"/>
          <w:sz w:val="20"/>
          <w:szCs w:val="20"/>
          <w:lang w:val="es-MX"/>
        </w:rPr>
        <w:t xml:space="preserve">el </w:t>
      </w:r>
      <w:r w:rsidR="00760AF3" w:rsidRPr="00211BF0">
        <w:rPr>
          <w:rFonts w:ascii="Verdana" w:hAnsi="Verdana" w:cs="Arial"/>
          <w:sz w:val="20"/>
          <w:szCs w:val="20"/>
          <w:lang w:val="es-MX"/>
        </w:rPr>
        <w:t>pasivo correspondiente a la obligación de entregar el dinero pactado en la operación.</w:t>
      </w:r>
    </w:p>
    <w:p w14:paraId="534B06C4" w14:textId="02B4F137" w:rsidR="003D0EBA" w:rsidRDefault="003D0EBA" w:rsidP="003D0EBA">
      <w:pPr>
        <w:tabs>
          <w:tab w:val="left" w:pos="540"/>
        </w:tabs>
        <w:spacing w:after="0" w:line="240" w:lineRule="auto"/>
        <w:jc w:val="both"/>
        <w:rPr>
          <w:rFonts w:ascii="Verdana" w:hAnsi="Verdana" w:cs="Arial"/>
          <w:bCs/>
          <w:sz w:val="20"/>
          <w:szCs w:val="20"/>
        </w:rPr>
      </w:pPr>
      <w:r>
        <w:rPr>
          <w:rFonts w:ascii="Verdana" w:hAnsi="Verdana" w:cs="Arial"/>
          <w:bCs/>
          <w:sz w:val="20"/>
          <w:szCs w:val="20"/>
        </w:rPr>
        <w:t>3.7.1.12.</w:t>
      </w:r>
    </w:p>
    <w:p w14:paraId="2CCD5C6D" w14:textId="6E29DA22" w:rsidR="00FB3934" w:rsidRPr="00211BF0" w:rsidRDefault="00FB3934" w:rsidP="00FB3934">
      <w:pPr>
        <w:widowControl w:val="0"/>
        <w:suppressLineNumbers/>
        <w:suppressAutoHyphens/>
        <w:ind w:right="49"/>
        <w:jc w:val="both"/>
        <w:rPr>
          <w:rFonts w:ascii="Verdana" w:hAnsi="Verdana" w:cs="Arial"/>
          <w:b/>
          <w:sz w:val="20"/>
          <w:szCs w:val="20"/>
          <w:lang w:val="es-MX"/>
        </w:rPr>
      </w:pPr>
      <w:r w:rsidRPr="00211BF0">
        <w:rPr>
          <w:rFonts w:ascii="Verdana" w:hAnsi="Verdana" w:cs="Arial"/>
          <w:sz w:val="20"/>
          <w:szCs w:val="20"/>
          <w:lang w:val="es-MX"/>
        </w:rPr>
        <w:t>En este tipo de operaciones, el vendedor reconocerá en el activo un derecho a recibir el dinero producto de la operación y un pasivo correspondiente a la obligación de entregar el activo negociado. Est</w:t>
      </w:r>
      <w:r w:rsidR="00D31706">
        <w:rPr>
          <w:rFonts w:ascii="Verdana" w:hAnsi="Verdana" w:cs="Arial"/>
          <w:sz w:val="20"/>
          <w:szCs w:val="20"/>
          <w:lang w:val="es-MX"/>
        </w:rPr>
        <w:t>e pasivo</w:t>
      </w:r>
      <w:r w:rsidRPr="00211BF0" w:rsidDel="00D31706">
        <w:rPr>
          <w:rFonts w:ascii="Verdana" w:hAnsi="Verdana" w:cs="Arial"/>
          <w:sz w:val="20"/>
          <w:szCs w:val="20"/>
          <w:lang w:val="es-MX"/>
        </w:rPr>
        <w:t xml:space="preserve"> </w:t>
      </w:r>
      <w:r w:rsidRPr="00211BF0">
        <w:rPr>
          <w:rFonts w:ascii="Verdana" w:hAnsi="Verdana" w:cs="Arial"/>
          <w:sz w:val="20"/>
          <w:szCs w:val="20"/>
          <w:lang w:val="es-MX"/>
        </w:rPr>
        <w:t>tendrá que valorarse a precios de mercado, por lo cual se deberán registrar en el estado de resultados las variaciones de la valoración de esta obligación.</w:t>
      </w:r>
    </w:p>
    <w:p w14:paraId="72966AC0" w14:textId="4375E2CC" w:rsidR="003D0EBA" w:rsidRDefault="003D0EBA" w:rsidP="003D0EBA">
      <w:pPr>
        <w:tabs>
          <w:tab w:val="left" w:pos="540"/>
        </w:tabs>
        <w:spacing w:after="0" w:line="240" w:lineRule="auto"/>
        <w:jc w:val="both"/>
        <w:rPr>
          <w:rFonts w:ascii="Verdana" w:hAnsi="Verdana" w:cs="Arial"/>
          <w:bCs/>
          <w:sz w:val="20"/>
          <w:szCs w:val="20"/>
        </w:rPr>
      </w:pPr>
      <w:r>
        <w:rPr>
          <w:rFonts w:ascii="Verdana" w:hAnsi="Verdana" w:cs="Arial"/>
          <w:bCs/>
          <w:sz w:val="20"/>
          <w:szCs w:val="20"/>
        </w:rPr>
        <w:t>3.7.1.13.</w:t>
      </w:r>
    </w:p>
    <w:p w14:paraId="3888769B" w14:textId="77777777" w:rsidR="00FB3934" w:rsidRPr="00211BF0" w:rsidRDefault="00FB3934" w:rsidP="00FB3934">
      <w:pPr>
        <w:widowControl w:val="0"/>
        <w:suppressLineNumbers/>
        <w:suppressAutoHyphens/>
        <w:ind w:right="49"/>
        <w:jc w:val="both"/>
        <w:rPr>
          <w:rFonts w:ascii="Verdana" w:hAnsi="Verdana" w:cs="Arial"/>
          <w:b/>
          <w:sz w:val="20"/>
          <w:szCs w:val="20"/>
          <w:lang w:val="es-MX"/>
        </w:rPr>
      </w:pPr>
      <w:r w:rsidRPr="00211BF0">
        <w:rPr>
          <w:rFonts w:ascii="Verdana" w:hAnsi="Verdana" w:cs="Arial"/>
          <w:sz w:val="20"/>
          <w:szCs w:val="20"/>
          <w:lang w:val="es-MX"/>
        </w:rPr>
        <w:t xml:space="preserve">Cuando la operación se cumple efectivamente, el comprador y el vendedor del activo financiero negociado darán de baja tanto el derecho como la obligación registrada desde el momento de la negociación. </w:t>
      </w:r>
    </w:p>
    <w:p w14:paraId="3B44866A" w14:textId="796BC87C" w:rsidR="003D0EBA" w:rsidRDefault="003D0EBA" w:rsidP="003D0EBA">
      <w:pPr>
        <w:tabs>
          <w:tab w:val="left" w:pos="540"/>
        </w:tabs>
        <w:spacing w:after="0" w:line="240" w:lineRule="auto"/>
        <w:jc w:val="both"/>
        <w:rPr>
          <w:rFonts w:ascii="Verdana" w:hAnsi="Verdana" w:cs="Arial"/>
          <w:bCs/>
          <w:sz w:val="20"/>
          <w:szCs w:val="20"/>
        </w:rPr>
      </w:pPr>
      <w:r>
        <w:rPr>
          <w:rFonts w:ascii="Verdana" w:hAnsi="Verdana" w:cs="Arial"/>
          <w:bCs/>
          <w:sz w:val="20"/>
          <w:szCs w:val="20"/>
        </w:rPr>
        <w:t>3.7.1.1</w:t>
      </w:r>
      <w:r w:rsidR="00D73748">
        <w:rPr>
          <w:rFonts w:ascii="Verdana" w:hAnsi="Verdana" w:cs="Arial"/>
          <w:bCs/>
          <w:sz w:val="20"/>
          <w:szCs w:val="20"/>
        </w:rPr>
        <w:t>4</w:t>
      </w:r>
      <w:r>
        <w:rPr>
          <w:rFonts w:ascii="Verdana" w:hAnsi="Verdana" w:cs="Arial"/>
          <w:bCs/>
          <w:sz w:val="20"/>
          <w:szCs w:val="20"/>
        </w:rPr>
        <w:t>.</w:t>
      </w:r>
    </w:p>
    <w:p w14:paraId="553F002E" w14:textId="5FA8AA6D" w:rsidR="0049253B" w:rsidRDefault="00FB3934" w:rsidP="00A6264C">
      <w:pPr>
        <w:widowControl w:val="0"/>
        <w:suppressLineNumbers/>
        <w:suppressAutoHyphens/>
        <w:ind w:right="49"/>
        <w:jc w:val="both"/>
        <w:rPr>
          <w:rFonts w:ascii="Verdana" w:hAnsi="Verdana" w:cs="Arial"/>
          <w:sz w:val="20"/>
          <w:szCs w:val="20"/>
          <w:lang w:val="es-MX"/>
        </w:rPr>
      </w:pPr>
      <w:r w:rsidRPr="00211BF0">
        <w:rPr>
          <w:rFonts w:ascii="Verdana" w:hAnsi="Verdana" w:cs="Arial"/>
          <w:sz w:val="20"/>
          <w:szCs w:val="20"/>
          <w:lang w:val="es-MX"/>
        </w:rPr>
        <w:t xml:space="preserve">Cuando se trate de operaciones sobre emisiones primarias de valores emitidos en el exterior, </w:t>
      </w:r>
      <w:r w:rsidR="004C0EBE">
        <w:rPr>
          <w:rFonts w:ascii="Verdana" w:hAnsi="Verdana" w:cs="Arial"/>
          <w:sz w:val="20"/>
          <w:szCs w:val="20"/>
          <w:lang w:val="es-MX"/>
        </w:rPr>
        <w:t xml:space="preserve">donde la fecha de negociación no coincida con la fecha de emisión del título, </w:t>
      </w:r>
      <w:r w:rsidRPr="00211BF0">
        <w:rPr>
          <w:rFonts w:ascii="Verdana" w:hAnsi="Verdana" w:cs="Arial"/>
          <w:sz w:val="20"/>
          <w:szCs w:val="20"/>
          <w:lang w:val="es-MX"/>
        </w:rPr>
        <w:t xml:space="preserve">las entidades vigiladas deberán reconocer estas operaciones en cuentas de orden desde el día de la contratación hasta el día de emisión de los respectivos valores. Una vez se emitan los valores, la entidad vigilada deberá realizar el reconocimiento de las operaciones de acuerdo con las reglas establecidas </w:t>
      </w:r>
      <w:r w:rsidR="000C280B">
        <w:rPr>
          <w:rFonts w:ascii="Verdana" w:hAnsi="Verdana" w:cs="Arial"/>
          <w:sz w:val="20"/>
          <w:szCs w:val="20"/>
          <w:lang w:val="es-MX"/>
        </w:rPr>
        <w:t xml:space="preserve">en los párrafos anteriores </w:t>
      </w:r>
      <w:r w:rsidR="004C5240">
        <w:rPr>
          <w:rFonts w:ascii="Verdana" w:hAnsi="Verdana" w:cs="Arial"/>
          <w:sz w:val="20"/>
          <w:szCs w:val="20"/>
          <w:lang w:val="es-MX"/>
        </w:rPr>
        <w:t>para la contabilización de operaciones de contado</w:t>
      </w:r>
      <w:r w:rsidR="00EE3473">
        <w:rPr>
          <w:rFonts w:ascii="Verdana" w:hAnsi="Verdana" w:cs="Arial"/>
          <w:sz w:val="20"/>
          <w:szCs w:val="20"/>
          <w:lang w:val="es-MX"/>
        </w:rPr>
        <w:t xml:space="preserve"> de la presente sección</w:t>
      </w:r>
      <w:r w:rsidR="00AB4467">
        <w:rPr>
          <w:rFonts w:ascii="Verdana" w:hAnsi="Verdana" w:cs="Arial"/>
          <w:sz w:val="20"/>
          <w:szCs w:val="20"/>
          <w:lang w:val="es-MX"/>
        </w:rPr>
        <w:t>.</w:t>
      </w:r>
    </w:p>
    <w:p w14:paraId="5F19594F" w14:textId="32C68FD6" w:rsidR="00FB3934" w:rsidRPr="008529B2" w:rsidRDefault="00120C45" w:rsidP="00FB3934">
      <w:pPr>
        <w:widowControl w:val="0"/>
        <w:suppressLineNumbers/>
        <w:suppressAutoHyphens/>
        <w:jc w:val="both"/>
        <w:rPr>
          <w:rFonts w:ascii="Verdana" w:hAnsi="Verdana" w:cs="Arial"/>
          <w:b/>
          <w:bCs/>
          <w:sz w:val="20"/>
          <w:szCs w:val="20"/>
          <w:lang w:val="es-MX"/>
        </w:rPr>
      </w:pPr>
      <w:r w:rsidRPr="008529B2">
        <w:rPr>
          <w:rFonts w:ascii="Verdana" w:hAnsi="Verdana" w:cs="Arial"/>
          <w:b/>
          <w:bCs/>
          <w:sz w:val="20"/>
          <w:szCs w:val="20"/>
          <w:lang w:val="es-MX"/>
        </w:rPr>
        <w:t xml:space="preserve">REGLAMENTOS DE LOS SISTEMAS DE NEGOCIACIÓN Y REGISTRO DE OPERACIONES SOBRE VALORES, </w:t>
      </w:r>
      <w:r w:rsidR="0009044C">
        <w:rPr>
          <w:rFonts w:ascii="Verdana" w:hAnsi="Verdana" w:cs="Arial"/>
          <w:b/>
          <w:bCs/>
          <w:sz w:val="20"/>
          <w:szCs w:val="20"/>
          <w:lang w:val="es-MX"/>
        </w:rPr>
        <w:t>D</w:t>
      </w:r>
      <w:r w:rsidRPr="008529B2">
        <w:rPr>
          <w:rFonts w:ascii="Verdana" w:hAnsi="Verdana" w:cs="Arial"/>
          <w:b/>
          <w:bCs/>
          <w:sz w:val="20"/>
          <w:szCs w:val="20"/>
          <w:lang w:val="es-MX"/>
        </w:rPr>
        <w:t>E LOS SISTEMAS DE COMPENSACIÓN Y LIQUIDACIÓN DE VALORES, Y DE LAS BOLSAS DE VALORES</w:t>
      </w:r>
    </w:p>
    <w:p w14:paraId="30BBBABB" w14:textId="467CABFE" w:rsidR="003D0EBA" w:rsidRDefault="003D0EBA" w:rsidP="003D0EBA">
      <w:pPr>
        <w:tabs>
          <w:tab w:val="left" w:pos="540"/>
        </w:tabs>
        <w:spacing w:after="0" w:line="240" w:lineRule="auto"/>
        <w:jc w:val="both"/>
        <w:rPr>
          <w:rFonts w:ascii="Verdana" w:hAnsi="Verdana" w:cs="Arial"/>
          <w:bCs/>
          <w:sz w:val="20"/>
          <w:szCs w:val="20"/>
        </w:rPr>
      </w:pPr>
      <w:r>
        <w:rPr>
          <w:rFonts w:ascii="Verdana" w:hAnsi="Verdana" w:cs="Arial"/>
          <w:bCs/>
          <w:sz w:val="20"/>
          <w:szCs w:val="20"/>
        </w:rPr>
        <w:t>3.7.1.1</w:t>
      </w:r>
      <w:r w:rsidR="00D73748">
        <w:rPr>
          <w:rFonts w:ascii="Verdana" w:hAnsi="Verdana" w:cs="Arial"/>
          <w:bCs/>
          <w:sz w:val="20"/>
          <w:szCs w:val="20"/>
        </w:rPr>
        <w:t>5</w:t>
      </w:r>
      <w:r>
        <w:rPr>
          <w:rFonts w:ascii="Verdana" w:hAnsi="Verdana" w:cs="Arial"/>
          <w:bCs/>
          <w:sz w:val="20"/>
          <w:szCs w:val="20"/>
        </w:rPr>
        <w:t>.</w:t>
      </w:r>
    </w:p>
    <w:p w14:paraId="43AD1345" w14:textId="69C2301E" w:rsidR="00FB3934" w:rsidRPr="00211BF0" w:rsidRDefault="00FB3934" w:rsidP="0038255F">
      <w:pPr>
        <w:widowControl w:val="0"/>
        <w:suppressLineNumbers/>
        <w:suppressAutoHyphens/>
        <w:jc w:val="both"/>
        <w:rPr>
          <w:rFonts w:ascii="Verdana" w:hAnsi="Verdana"/>
          <w:sz w:val="20"/>
          <w:szCs w:val="20"/>
        </w:rPr>
      </w:pPr>
      <w:r w:rsidRPr="00211BF0">
        <w:rPr>
          <w:rFonts w:ascii="Verdana" w:hAnsi="Verdana" w:cs="Arial"/>
          <w:bCs/>
          <w:sz w:val="20"/>
          <w:szCs w:val="20"/>
          <w:lang w:val="es-MX"/>
        </w:rPr>
        <w:t xml:space="preserve">Los reglamentos y procedimientos operativos de las bolsas de valores y de los sistemas de negociación de operaciones sobre valores, de registro de operaciones sobre valores, y de compensación y liquidación de valores, deberán estar ajustados a lo previsto en </w:t>
      </w:r>
      <w:r w:rsidR="0038255F">
        <w:rPr>
          <w:rFonts w:ascii="Verdana" w:hAnsi="Verdana" w:cs="Arial"/>
          <w:bCs/>
          <w:sz w:val="20"/>
          <w:szCs w:val="20"/>
          <w:lang w:val="es-MX"/>
        </w:rPr>
        <w:t>esta sección</w:t>
      </w:r>
      <w:r w:rsidRPr="00211BF0">
        <w:rPr>
          <w:rFonts w:ascii="Verdana" w:hAnsi="Verdana" w:cs="Arial"/>
          <w:bCs/>
          <w:sz w:val="20"/>
          <w:szCs w:val="20"/>
          <w:lang w:val="es-MX"/>
        </w:rPr>
        <w:t>.</w:t>
      </w:r>
    </w:p>
    <w:sectPr w:rsidR="00FB3934" w:rsidRPr="00211BF0"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832C2" w14:textId="77777777" w:rsidR="00073CDB" w:rsidRDefault="00073CDB" w:rsidP="00057BF6">
      <w:pPr>
        <w:spacing w:after="0" w:line="240" w:lineRule="auto"/>
      </w:pPr>
      <w:r>
        <w:separator/>
      </w:r>
    </w:p>
  </w:endnote>
  <w:endnote w:type="continuationSeparator" w:id="0">
    <w:p w14:paraId="2559B3EF" w14:textId="77777777" w:rsidR="00073CDB" w:rsidRDefault="00073CDB"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08924" w14:textId="77777777" w:rsidR="00073CDB" w:rsidRDefault="00073CDB" w:rsidP="00057BF6">
      <w:pPr>
        <w:spacing w:after="0" w:line="240" w:lineRule="auto"/>
      </w:pPr>
      <w:r>
        <w:separator/>
      </w:r>
    </w:p>
  </w:footnote>
  <w:footnote w:type="continuationSeparator" w:id="0">
    <w:p w14:paraId="790EA1C8" w14:textId="77777777" w:rsidR="00073CDB" w:rsidRDefault="00073CDB"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16cid:durableId="678432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6897"/>
    <w:rsid w:val="00012FC9"/>
    <w:rsid w:val="00057BF6"/>
    <w:rsid w:val="0006736C"/>
    <w:rsid w:val="00067380"/>
    <w:rsid w:val="00073CDB"/>
    <w:rsid w:val="000835DF"/>
    <w:rsid w:val="00084081"/>
    <w:rsid w:val="0009044C"/>
    <w:rsid w:val="00094603"/>
    <w:rsid w:val="000A4A7C"/>
    <w:rsid w:val="000C0D59"/>
    <w:rsid w:val="000C280B"/>
    <w:rsid w:val="000D2E94"/>
    <w:rsid w:val="000E68AD"/>
    <w:rsid w:val="000F3EDC"/>
    <w:rsid w:val="0010167B"/>
    <w:rsid w:val="00105205"/>
    <w:rsid w:val="00120C45"/>
    <w:rsid w:val="00124CE7"/>
    <w:rsid w:val="00125BD4"/>
    <w:rsid w:val="00134E56"/>
    <w:rsid w:val="00150861"/>
    <w:rsid w:val="00162835"/>
    <w:rsid w:val="001756A9"/>
    <w:rsid w:val="001A2AF9"/>
    <w:rsid w:val="001B5187"/>
    <w:rsid w:val="001C5184"/>
    <w:rsid w:val="001D6B45"/>
    <w:rsid w:val="001E366A"/>
    <w:rsid w:val="001E5259"/>
    <w:rsid w:val="001F61D8"/>
    <w:rsid w:val="00206E27"/>
    <w:rsid w:val="00211BF0"/>
    <w:rsid w:val="0021666A"/>
    <w:rsid w:val="0026166D"/>
    <w:rsid w:val="002665A3"/>
    <w:rsid w:val="00272A5C"/>
    <w:rsid w:val="0028234B"/>
    <w:rsid w:val="00292AA7"/>
    <w:rsid w:val="002A6075"/>
    <w:rsid w:val="002B4F4A"/>
    <w:rsid w:val="002D0718"/>
    <w:rsid w:val="002D7517"/>
    <w:rsid w:val="002E319C"/>
    <w:rsid w:val="002F5CF4"/>
    <w:rsid w:val="00312BB1"/>
    <w:rsid w:val="00315785"/>
    <w:rsid w:val="00321636"/>
    <w:rsid w:val="00340A2A"/>
    <w:rsid w:val="00352BAD"/>
    <w:rsid w:val="00354A65"/>
    <w:rsid w:val="003704DA"/>
    <w:rsid w:val="0038255F"/>
    <w:rsid w:val="003838BF"/>
    <w:rsid w:val="003A5CFE"/>
    <w:rsid w:val="003C0DD5"/>
    <w:rsid w:val="003C2DA8"/>
    <w:rsid w:val="003C558F"/>
    <w:rsid w:val="003D0EBA"/>
    <w:rsid w:val="003D65B6"/>
    <w:rsid w:val="003E6D68"/>
    <w:rsid w:val="0040498E"/>
    <w:rsid w:val="00405030"/>
    <w:rsid w:val="00405D30"/>
    <w:rsid w:val="004068EE"/>
    <w:rsid w:val="00406D2B"/>
    <w:rsid w:val="004078F1"/>
    <w:rsid w:val="00407B1D"/>
    <w:rsid w:val="004111A0"/>
    <w:rsid w:val="0043223D"/>
    <w:rsid w:val="00435547"/>
    <w:rsid w:val="004463DF"/>
    <w:rsid w:val="004910A6"/>
    <w:rsid w:val="00491834"/>
    <w:rsid w:val="0049253B"/>
    <w:rsid w:val="00496B00"/>
    <w:rsid w:val="004A3D78"/>
    <w:rsid w:val="004A3FDA"/>
    <w:rsid w:val="004C0EBE"/>
    <w:rsid w:val="004C5240"/>
    <w:rsid w:val="004C5B73"/>
    <w:rsid w:val="004E0609"/>
    <w:rsid w:val="004E14C4"/>
    <w:rsid w:val="004F2EA8"/>
    <w:rsid w:val="004F59AB"/>
    <w:rsid w:val="00504486"/>
    <w:rsid w:val="00513C2E"/>
    <w:rsid w:val="0051626F"/>
    <w:rsid w:val="00516AB6"/>
    <w:rsid w:val="00527A7F"/>
    <w:rsid w:val="005339E5"/>
    <w:rsid w:val="0053475D"/>
    <w:rsid w:val="00535C9A"/>
    <w:rsid w:val="00555548"/>
    <w:rsid w:val="0055785C"/>
    <w:rsid w:val="005607D5"/>
    <w:rsid w:val="00576DF2"/>
    <w:rsid w:val="00596B88"/>
    <w:rsid w:val="005A2848"/>
    <w:rsid w:val="005B18C1"/>
    <w:rsid w:val="005E5B15"/>
    <w:rsid w:val="0060589F"/>
    <w:rsid w:val="00605CB9"/>
    <w:rsid w:val="0061423F"/>
    <w:rsid w:val="006201FD"/>
    <w:rsid w:val="00647C54"/>
    <w:rsid w:val="00650C4A"/>
    <w:rsid w:val="00651271"/>
    <w:rsid w:val="00671DC2"/>
    <w:rsid w:val="00677FE7"/>
    <w:rsid w:val="00683C24"/>
    <w:rsid w:val="00690063"/>
    <w:rsid w:val="006A7BF3"/>
    <w:rsid w:val="006B1B81"/>
    <w:rsid w:val="006C0E86"/>
    <w:rsid w:val="006D4040"/>
    <w:rsid w:val="006D580B"/>
    <w:rsid w:val="00703926"/>
    <w:rsid w:val="00705886"/>
    <w:rsid w:val="00713DEB"/>
    <w:rsid w:val="00721D02"/>
    <w:rsid w:val="0074779C"/>
    <w:rsid w:val="00747931"/>
    <w:rsid w:val="00760AF3"/>
    <w:rsid w:val="00770B36"/>
    <w:rsid w:val="00771B5F"/>
    <w:rsid w:val="0078330A"/>
    <w:rsid w:val="00796DCC"/>
    <w:rsid w:val="007A2479"/>
    <w:rsid w:val="007A302E"/>
    <w:rsid w:val="007A4343"/>
    <w:rsid w:val="007C4DF1"/>
    <w:rsid w:val="00811C18"/>
    <w:rsid w:val="00823210"/>
    <w:rsid w:val="00847CDD"/>
    <w:rsid w:val="008529B2"/>
    <w:rsid w:val="0089640D"/>
    <w:rsid w:val="008D6294"/>
    <w:rsid w:val="009026CF"/>
    <w:rsid w:val="00913B56"/>
    <w:rsid w:val="009203A9"/>
    <w:rsid w:val="00926534"/>
    <w:rsid w:val="0092672A"/>
    <w:rsid w:val="00937ADA"/>
    <w:rsid w:val="009558CC"/>
    <w:rsid w:val="00956EC8"/>
    <w:rsid w:val="009571FD"/>
    <w:rsid w:val="009603EE"/>
    <w:rsid w:val="0096356C"/>
    <w:rsid w:val="0097562E"/>
    <w:rsid w:val="00975CA6"/>
    <w:rsid w:val="00985104"/>
    <w:rsid w:val="009A1D12"/>
    <w:rsid w:val="009A2823"/>
    <w:rsid w:val="009A3322"/>
    <w:rsid w:val="009A44F6"/>
    <w:rsid w:val="009A731C"/>
    <w:rsid w:val="009B6D85"/>
    <w:rsid w:val="009C3C51"/>
    <w:rsid w:val="009C53DC"/>
    <w:rsid w:val="009D6127"/>
    <w:rsid w:val="00A15C2B"/>
    <w:rsid w:val="00A24CA6"/>
    <w:rsid w:val="00A372DE"/>
    <w:rsid w:val="00A41E5E"/>
    <w:rsid w:val="00A4271C"/>
    <w:rsid w:val="00A6264C"/>
    <w:rsid w:val="00AA38F3"/>
    <w:rsid w:val="00AB14EF"/>
    <w:rsid w:val="00AB2814"/>
    <w:rsid w:val="00AB4467"/>
    <w:rsid w:val="00AB57BB"/>
    <w:rsid w:val="00AC42C1"/>
    <w:rsid w:val="00AC697D"/>
    <w:rsid w:val="00AD0139"/>
    <w:rsid w:val="00AD20B5"/>
    <w:rsid w:val="00B028D0"/>
    <w:rsid w:val="00B37BE2"/>
    <w:rsid w:val="00B552EF"/>
    <w:rsid w:val="00B919FC"/>
    <w:rsid w:val="00B94C73"/>
    <w:rsid w:val="00BA25CA"/>
    <w:rsid w:val="00BA7957"/>
    <w:rsid w:val="00BD605A"/>
    <w:rsid w:val="00BE66C9"/>
    <w:rsid w:val="00C079D9"/>
    <w:rsid w:val="00C3460F"/>
    <w:rsid w:val="00C44120"/>
    <w:rsid w:val="00C84FB0"/>
    <w:rsid w:val="00CB5EE7"/>
    <w:rsid w:val="00CB7644"/>
    <w:rsid w:val="00CC3647"/>
    <w:rsid w:val="00CC6142"/>
    <w:rsid w:val="00CE2C27"/>
    <w:rsid w:val="00CE7082"/>
    <w:rsid w:val="00CF4689"/>
    <w:rsid w:val="00D04CAC"/>
    <w:rsid w:val="00D24B7F"/>
    <w:rsid w:val="00D31706"/>
    <w:rsid w:val="00D5205F"/>
    <w:rsid w:val="00D55753"/>
    <w:rsid w:val="00D7315A"/>
    <w:rsid w:val="00D73748"/>
    <w:rsid w:val="00D73E08"/>
    <w:rsid w:val="00D74E37"/>
    <w:rsid w:val="00D8094A"/>
    <w:rsid w:val="00DA0C0E"/>
    <w:rsid w:val="00DB3370"/>
    <w:rsid w:val="00DB3DF7"/>
    <w:rsid w:val="00DC7459"/>
    <w:rsid w:val="00DE3FBB"/>
    <w:rsid w:val="00DF3642"/>
    <w:rsid w:val="00E03CCC"/>
    <w:rsid w:val="00E16077"/>
    <w:rsid w:val="00E25BB3"/>
    <w:rsid w:val="00E352E1"/>
    <w:rsid w:val="00E35C25"/>
    <w:rsid w:val="00E52CA7"/>
    <w:rsid w:val="00E55A0A"/>
    <w:rsid w:val="00E84686"/>
    <w:rsid w:val="00EB4882"/>
    <w:rsid w:val="00EC17D5"/>
    <w:rsid w:val="00ED24CC"/>
    <w:rsid w:val="00EE3473"/>
    <w:rsid w:val="00F12C0B"/>
    <w:rsid w:val="00F20A3F"/>
    <w:rsid w:val="00F21BCB"/>
    <w:rsid w:val="00F25633"/>
    <w:rsid w:val="00F51DA9"/>
    <w:rsid w:val="00F54729"/>
    <w:rsid w:val="00F67513"/>
    <w:rsid w:val="00F75011"/>
    <w:rsid w:val="00F833EF"/>
    <w:rsid w:val="00FA71AE"/>
    <w:rsid w:val="00FB17AF"/>
    <w:rsid w:val="00FB3934"/>
    <w:rsid w:val="00FD0413"/>
    <w:rsid w:val="571469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0A5119D1-DF7B-49AB-8367-FF925A99B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paragraph" w:styleId="Revisin">
    <w:name w:val="Revision"/>
    <w:hidden/>
    <w:uiPriority w:val="99"/>
    <w:semiHidden/>
    <w:rsid w:val="00012FC9"/>
    <w:pPr>
      <w:spacing w:after="0" w:line="240" w:lineRule="auto"/>
    </w:pPr>
  </w:style>
  <w:style w:type="character" w:styleId="Refdecomentario">
    <w:name w:val="annotation reference"/>
    <w:basedOn w:val="Fuentedeprrafopredeter"/>
    <w:uiPriority w:val="99"/>
    <w:semiHidden/>
    <w:unhideWhenUsed/>
    <w:rsid w:val="00937ADA"/>
    <w:rPr>
      <w:sz w:val="16"/>
      <w:szCs w:val="16"/>
    </w:rPr>
  </w:style>
  <w:style w:type="paragraph" w:styleId="Textocomentario">
    <w:name w:val="annotation text"/>
    <w:basedOn w:val="Normal"/>
    <w:link w:val="TextocomentarioCar"/>
    <w:uiPriority w:val="99"/>
    <w:unhideWhenUsed/>
    <w:rsid w:val="00937ADA"/>
    <w:pPr>
      <w:spacing w:line="240" w:lineRule="auto"/>
    </w:pPr>
    <w:rPr>
      <w:sz w:val="20"/>
      <w:szCs w:val="20"/>
    </w:rPr>
  </w:style>
  <w:style w:type="character" w:customStyle="1" w:styleId="TextocomentarioCar">
    <w:name w:val="Texto comentario Car"/>
    <w:basedOn w:val="Fuentedeprrafopredeter"/>
    <w:link w:val="Textocomentario"/>
    <w:uiPriority w:val="99"/>
    <w:rsid w:val="00937ADA"/>
    <w:rPr>
      <w:sz w:val="20"/>
      <w:szCs w:val="20"/>
    </w:rPr>
  </w:style>
  <w:style w:type="paragraph" w:styleId="Asuntodelcomentario">
    <w:name w:val="annotation subject"/>
    <w:basedOn w:val="Textocomentario"/>
    <w:next w:val="Textocomentario"/>
    <w:link w:val="AsuntodelcomentarioCar"/>
    <w:uiPriority w:val="99"/>
    <w:semiHidden/>
    <w:unhideWhenUsed/>
    <w:rsid w:val="00937ADA"/>
    <w:rPr>
      <w:b/>
      <w:bCs/>
    </w:rPr>
  </w:style>
  <w:style w:type="character" w:customStyle="1" w:styleId="AsuntodelcomentarioCar">
    <w:name w:val="Asunto del comentario Car"/>
    <w:basedOn w:val="TextocomentarioCar"/>
    <w:link w:val="Asuntodelcomentario"/>
    <w:uiPriority w:val="99"/>
    <w:semiHidden/>
    <w:rsid w:val="00937A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55FFE656-5F43-4359-BCB6-EB5554A6D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Pages>
  <Words>1024</Words>
  <Characters>5397</Characters>
  <Application>Microsoft Office Word</Application>
  <DocSecurity>0</DocSecurity>
  <Lines>110</Lines>
  <Paragraphs>41</Paragraphs>
  <ScaleCrop>false</ScaleCrop>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175</cp:revision>
  <cp:lastPrinted>2025-09-01T14:20:00Z</cp:lastPrinted>
  <dcterms:created xsi:type="dcterms:W3CDTF">2024-10-16T02:45:00Z</dcterms:created>
  <dcterms:modified xsi:type="dcterms:W3CDTF">2026-04-13T14:22:00Z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72200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